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88" w:type="dxa"/>
        <w:tblLook w:val="01E0" w:firstRow="1" w:lastRow="1" w:firstColumn="1" w:lastColumn="1" w:noHBand="0" w:noVBand="0"/>
      </w:tblPr>
      <w:tblGrid>
        <w:gridCol w:w="4050"/>
        <w:gridCol w:w="6138"/>
      </w:tblGrid>
      <w:tr w:rsidR="00DB14DE" w14:paraId="41C713E7" w14:textId="77777777" w:rsidTr="00EE4763">
        <w:tc>
          <w:tcPr>
            <w:tcW w:w="4050" w:type="dxa"/>
            <w:tcBorders>
              <w:top w:val="nil"/>
              <w:left w:val="nil"/>
              <w:bottom w:val="single" w:sz="18" w:space="0" w:color="FFFFFF"/>
              <w:right w:val="single" w:sz="18" w:space="0" w:color="FFFFFF"/>
            </w:tcBorders>
            <w:shd w:val="pct20" w:color="000000" w:fill="FFFFFF"/>
            <w:hideMark/>
          </w:tcPr>
          <w:p w14:paraId="53529195" w14:textId="78289615" w:rsidR="00DB14DE" w:rsidRDefault="00DB14DE">
            <w:pPr>
              <w:jc w:val="right"/>
              <w:rPr>
                <w:b/>
                <w:bCs/>
                <w:i/>
                <w:color w:val="000000"/>
                <w:sz w:val="28"/>
                <w:szCs w:val="28"/>
              </w:rPr>
            </w:pPr>
            <w:r>
              <w:rPr>
                <w:b/>
                <w:bCs/>
                <w:i/>
                <w:color w:val="000000"/>
                <w:sz w:val="28"/>
                <w:szCs w:val="28"/>
              </w:rPr>
              <w:t xml:space="preserve">Nombre de la </w:t>
            </w:r>
            <w:proofErr w:type="spellStart"/>
            <w:r>
              <w:rPr>
                <w:b/>
                <w:bCs/>
                <w:i/>
                <w:color w:val="000000"/>
                <w:sz w:val="28"/>
                <w:szCs w:val="28"/>
              </w:rPr>
              <w:t>directiva</w:t>
            </w:r>
            <w:proofErr w:type="spellEnd"/>
          </w:p>
        </w:tc>
        <w:tc>
          <w:tcPr>
            <w:tcW w:w="6138" w:type="dxa"/>
            <w:tcBorders>
              <w:top w:val="nil"/>
              <w:left w:val="single" w:sz="18" w:space="0" w:color="FFFFFF"/>
              <w:bottom w:val="single" w:sz="18" w:space="0" w:color="FFFFFF"/>
              <w:right w:val="nil"/>
            </w:tcBorders>
            <w:shd w:val="pct20" w:color="000000" w:fill="FFFFFF"/>
            <w:hideMark/>
          </w:tcPr>
          <w:p w14:paraId="21A7E9F5" w14:textId="77777777" w:rsidR="00DB14DE" w:rsidRDefault="00DB14DE" w:rsidP="0000710C">
            <w:pPr>
              <w:jc w:val="right"/>
              <w:rPr>
                <w:b/>
                <w:bCs/>
                <w:color w:val="000000"/>
                <w:sz w:val="28"/>
                <w:szCs w:val="28"/>
              </w:rPr>
            </w:pPr>
            <w:r>
              <w:rPr>
                <w:b/>
                <w:bCs/>
                <w:color w:val="000000"/>
                <w:sz w:val="28"/>
                <w:szCs w:val="28"/>
              </w:rPr>
              <w:t>Divulgación de información al consumidor</w:t>
            </w:r>
          </w:p>
        </w:tc>
      </w:tr>
      <w:tr w:rsidR="00DB14DE" w14:paraId="6C201CF7" w14:textId="77777777" w:rsidTr="00EE4763">
        <w:tc>
          <w:tcPr>
            <w:tcW w:w="4050" w:type="dxa"/>
            <w:tcBorders>
              <w:top w:val="single" w:sz="18" w:space="0" w:color="FFFFFF"/>
              <w:left w:val="nil"/>
              <w:bottom w:val="single" w:sz="18" w:space="0" w:color="FFFFFF"/>
              <w:right w:val="single" w:sz="18" w:space="0" w:color="FFFFFF"/>
            </w:tcBorders>
            <w:shd w:val="pct5" w:color="000000" w:fill="FFFFFF"/>
            <w:hideMark/>
          </w:tcPr>
          <w:p w14:paraId="0D534BBB" w14:textId="1B1FB1E8" w:rsidR="00DB14DE" w:rsidRDefault="0060683C">
            <w:pPr>
              <w:jc w:val="right"/>
              <w:rPr>
                <w:i/>
                <w:color w:val="000000"/>
                <w:sz w:val="28"/>
                <w:szCs w:val="28"/>
              </w:rPr>
            </w:pPr>
            <w:proofErr w:type="spellStart"/>
            <w:r>
              <w:rPr>
                <w:i/>
                <w:color w:val="000000"/>
                <w:sz w:val="28"/>
                <w:szCs w:val="28"/>
              </w:rPr>
              <w:t>Fecha</w:t>
            </w:r>
            <w:proofErr w:type="spellEnd"/>
            <w:r>
              <w:rPr>
                <w:i/>
                <w:color w:val="000000"/>
                <w:sz w:val="28"/>
                <w:szCs w:val="28"/>
              </w:rPr>
              <w:t xml:space="preserve"> </w:t>
            </w:r>
            <w:proofErr w:type="spellStart"/>
            <w:r>
              <w:rPr>
                <w:i/>
                <w:color w:val="000000"/>
                <w:sz w:val="28"/>
                <w:szCs w:val="28"/>
              </w:rPr>
              <w:t>revisada</w:t>
            </w:r>
            <w:proofErr w:type="spellEnd"/>
          </w:p>
        </w:tc>
        <w:tc>
          <w:tcPr>
            <w:tcW w:w="6138" w:type="dxa"/>
            <w:tcBorders>
              <w:top w:val="single" w:sz="18" w:space="0" w:color="FFFFFF"/>
              <w:left w:val="single" w:sz="18" w:space="0" w:color="FFFFFF"/>
              <w:bottom w:val="single" w:sz="18" w:space="0" w:color="FFFFFF"/>
              <w:right w:val="nil"/>
            </w:tcBorders>
            <w:shd w:val="pct5" w:color="000000" w:fill="FFFFFF"/>
            <w:hideMark/>
          </w:tcPr>
          <w:p w14:paraId="4F8CEAFF" w14:textId="3CDE62D1" w:rsidR="00DB14DE" w:rsidRDefault="00EE4763">
            <w:pPr>
              <w:jc w:val="right"/>
              <w:rPr>
                <w:color w:val="000000"/>
                <w:sz w:val="28"/>
                <w:szCs w:val="28"/>
              </w:rPr>
            </w:pPr>
            <w:r>
              <w:rPr>
                <w:color w:val="000000"/>
                <w:sz w:val="28"/>
                <w:szCs w:val="28"/>
              </w:rPr>
              <w:t xml:space="preserve">8 de </w:t>
            </w:r>
            <w:proofErr w:type="spellStart"/>
            <w:r>
              <w:rPr>
                <w:color w:val="000000"/>
                <w:sz w:val="28"/>
                <w:szCs w:val="28"/>
              </w:rPr>
              <w:t>junio</w:t>
            </w:r>
            <w:proofErr w:type="spellEnd"/>
            <w:r>
              <w:rPr>
                <w:color w:val="000000"/>
                <w:sz w:val="28"/>
                <w:szCs w:val="28"/>
              </w:rPr>
              <w:t xml:space="preserve"> de 2022</w:t>
            </w:r>
          </w:p>
        </w:tc>
      </w:tr>
      <w:tr w:rsidR="00DB14DE" w14:paraId="418C841D" w14:textId="77777777" w:rsidTr="00EE4763">
        <w:tc>
          <w:tcPr>
            <w:tcW w:w="4050" w:type="dxa"/>
            <w:tcBorders>
              <w:top w:val="single" w:sz="18" w:space="0" w:color="FFFFFF"/>
              <w:left w:val="nil"/>
              <w:bottom w:val="nil"/>
              <w:right w:val="single" w:sz="18" w:space="0" w:color="FFFFFF"/>
            </w:tcBorders>
            <w:shd w:val="pct20" w:color="000000" w:fill="FFFFFF"/>
            <w:hideMark/>
          </w:tcPr>
          <w:p w14:paraId="270411E3" w14:textId="77777777" w:rsidR="00DB14DE" w:rsidRDefault="004D3D6D">
            <w:pPr>
              <w:jc w:val="right"/>
              <w:rPr>
                <w:i/>
                <w:color w:val="000000"/>
                <w:sz w:val="28"/>
                <w:szCs w:val="28"/>
              </w:rPr>
            </w:pPr>
            <w:r>
              <w:rPr>
                <w:i/>
                <w:color w:val="000000"/>
                <w:sz w:val="28"/>
                <w:szCs w:val="28"/>
              </w:rPr>
              <w:t>Aprobado por</w:t>
            </w:r>
          </w:p>
        </w:tc>
        <w:tc>
          <w:tcPr>
            <w:tcW w:w="6138" w:type="dxa"/>
            <w:tcBorders>
              <w:top w:val="single" w:sz="18" w:space="0" w:color="FFFFFF"/>
              <w:left w:val="single" w:sz="18" w:space="0" w:color="FFFFFF"/>
              <w:bottom w:val="nil"/>
              <w:right w:val="nil"/>
            </w:tcBorders>
            <w:shd w:val="pct20" w:color="000000" w:fill="FFFFFF"/>
            <w:hideMark/>
          </w:tcPr>
          <w:p w14:paraId="622F0981" w14:textId="77777777" w:rsidR="00DB14DE" w:rsidRDefault="004D3D6D" w:rsidP="00742932">
            <w:pPr>
              <w:jc w:val="right"/>
              <w:rPr>
                <w:color w:val="000000"/>
                <w:sz w:val="28"/>
                <w:szCs w:val="28"/>
              </w:rPr>
            </w:pPr>
            <w:r>
              <w:rPr>
                <w:color w:val="000000"/>
                <w:sz w:val="28"/>
                <w:szCs w:val="28"/>
              </w:rPr>
              <w:t>Linda L. Carney, Presidenta/Directora Ejecutiva</w:t>
            </w:r>
          </w:p>
        </w:tc>
      </w:tr>
      <w:tr w:rsidR="004D3D6D" w14:paraId="77F4BA85" w14:textId="77777777" w:rsidTr="00EE4763">
        <w:tc>
          <w:tcPr>
            <w:tcW w:w="4050" w:type="dxa"/>
            <w:tcBorders>
              <w:top w:val="single" w:sz="18" w:space="0" w:color="FFFFFF"/>
              <w:left w:val="nil"/>
              <w:bottom w:val="nil"/>
              <w:right w:val="single" w:sz="18" w:space="0" w:color="FFFFFF"/>
            </w:tcBorders>
            <w:shd w:val="clear" w:color="auto" w:fill="F2F2F2" w:themeFill="background1" w:themeFillShade="F2"/>
            <w:hideMark/>
          </w:tcPr>
          <w:p w14:paraId="46B515BD" w14:textId="2D44FB89" w:rsidR="004D3D6D" w:rsidRDefault="004D3D6D" w:rsidP="00E53FF8">
            <w:pPr>
              <w:jc w:val="right"/>
              <w:rPr>
                <w:i/>
                <w:color w:val="000000"/>
                <w:sz w:val="28"/>
                <w:szCs w:val="28"/>
              </w:rPr>
            </w:pPr>
            <w:r>
              <w:rPr>
                <w:i/>
                <w:color w:val="000000"/>
                <w:sz w:val="28"/>
                <w:szCs w:val="28"/>
              </w:rPr>
              <w:t>Fecha de revisión más reciente</w:t>
            </w:r>
          </w:p>
        </w:tc>
        <w:tc>
          <w:tcPr>
            <w:tcW w:w="6138" w:type="dxa"/>
            <w:tcBorders>
              <w:top w:val="single" w:sz="18" w:space="0" w:color="FFFFFF"/>
              <w:left w:val="single" w:sz="18" w:space="0" w:color="FFFFFF"/>
              <w:bottom w:val="nil"/>
              <w:right w:val="nil"/>
            </w:tcBorders>
            <w:shd w:val="clear" w:color="auto" w:fill="F2F2F2" w:themeFill="background1" w:themeFillShade="F2"/>
            <w:hideMark/>
          </w:tcPr>
          <w:p w14:paraId="2C0FDF42" w14:textId="2126690E" w:rsidR="004D3D6D" w:rsidRDefault="00EE4763" w:rsidP="003E6BCE">
            <w:pPr>
              <w:jc w:val="right"/>
              <w:rPr>
                <w:color w:val="000000"/>
                <w:sz w:val="28"/>
                <w:szCs w:val="28"/>
              </w:rPr>
            </w:pPr>
            <w:r>
              <w:rPr>
                <w:color w:val="000000"/>
                <w:sz w:val="28"/>
                <w:szCs w:val="28"/>
              </w:rPr>
              <w:t xml:space="preserve">11 de </w:t>
            </w:r>
            <w:proofErr w:type="spellStart"/>
            <w:r w:rsidR="007203F9">
              <w:rPr>
                <w:color w:val="000000"/>
                <w:sz w:val="28"/>
                <w:szCs w:val="28"/>
              </w:rPr>
              <w:t>junio</w:t>
            </w:r>
            <w:proofErr w:type="spellEnd"/>
            <w:r w:rsidR="007203F9">
              <w:rPr>
                <w:color w:val="000000"/>
                <w:sz w:val="28"/>
                <w:szCs w:val="28"/>
              </w:rPr>
              <w:t xml:space="preserve"> </w:t>
            </w:r>
            <w:r>
              <w:rPr>
                <w:color w:val="000000"/>
                <w:sz w:val="28"/>
                <w:szCs w:val="28"/>
              </w:rPr>
              <w:t>de</w:t>
            </w:r>
            <w:r w:rsidR="007203F9">
              <w:rPr>
                <w:color w:val="000000"/>
                <w:sz w:val="28"/>
                <w:szCs w:val="28"/>
              </w:rPr>
              <w:t xml:space="preserve"> 202</w:t>
            </w:r>
            <w:r>
              <w:rPr>
                <w:color w:val="000000"/>
                <w:sz w:val="28"/>
                <w:szCs w:val="28"/>
              </w:rPr>
              <w:t>4</w:t>
            </w:r>
          </w:p>
        </w:tc>
      </w:tr>
    </w:tbl>
    <w:p w14:paraId="02A46E77" w14:textId="77777777" w:rsidR="00DB14DE" w:rsidRDefault="00DB14DE" w:rsidP="002471F2">
      <w:pPr>
        <w:pStyle w:val="Heading1"/>
      </w:pPr>
    </w:p>
    <w:p w14:paraId="792E7F4D" w14:textId="12E2B38C" w:rsidR="002471F2" w:rsidRPr="0066597B" w:rsidRDefault="002471F2" w:rsidP="008507BC">
      <w:pPr>
        <w:tabs>
          <w:tab w:val="left" w:pos="720"/>
          <w:tab w:val="left" w:pos="1800"/>
        </w:tabs>
        <w:spacing w:after="240"/>
        <w:ind w:left="1354" w:hanging="1440"/>
        <w:rPr>
          <w:sz w:val="28"/>
          <w:szCs w:val="28"/>
        </w:rPr>
      </w:pPr>
      <w:r w:rsidRPr="004B4C89">
        <w:rPr>
          <w:b/>
          <w:bCs/>
          <w:sz w:val="28"/>
          <w:szCs w:val="28"/>
        </w:rPr>
        <w:t xml:space="preserve">Política:      </w:t>
      </w:r>
      <w:r w:rsidR="00B6725A">
        <w:rPr>
          <w:b/>
          <w:bCs/>
          <w:sz w:val="28"/>
          <w:szCs w:val="28"/>
        </w:rPr>
        <w:tab/>
      </w:r>
      <w:r w:rsidR="009747F0">
        <w:rPr>
          <w:sz w:val="28"/>
          <w:szCs w:val="28"/>
        </w:rPr>
        <w:t xml:space="preserve">Asegurar que la información verbal y escrita sobre los consumidores se divulgue de una manera que proteja el derecho del individuo a la confidencialidad. La información en el registro del consumidor no es información pública. La información no se divulgará sin el permiso por escrito del individuo, excepto cuando la ley lo permita o exija. CODI hará esfuerzos razonables para limitar el uso y la divulgación de información </w:t>
      </w:r>
      <w:r w:rsidR="009747F0" w:rsidRPr="0066597B">
        <w:rPr>
          <w:sz w:val="28"/>
          <w:szCs w:val="28"/>
        </w:rPr>
        <w:t xml:space="preserve">confidencial.   </w:t>
      </w:r>
    </w:p>
    <w:p w14:paraId="07D6B666" w14:textId="345ED62E" w:rsidR="002471F2" w:rsidRPr="0066597B" w:rsidRDefault="00EE4763" w:rsidP="005B0F0A">
      <w:pPr>
        <w:tabs>
          <w:tab w:val="left" w:pos="720"/>
          <w:tab w:val="left" w:pos="1800"/>
        </w:tabs>
        <w:spacing w:after="240"/>
        <w:ind w:left="1354" w:hanging="1440"/>
        <w:rPr>
          <w:b/>
          <w:bCs/>
          <w:sz w:val="28"/>
          <w:szCs w:val="28"/>
        </w:rPr>
      </w:pPr>
      <w:r w:rsidRPr="0066597B">
        <w:rPr>
          <w:b/>
          <w:bCs/>
          <w:sz w:val="28"/>
          <w:szCs w:val="28"/>
        </w:rPr>
        <w:tab/>
      </w:r>
      <w:r w:rsidRPr="0066597B">
        <w:rPr>
          <w:b/>
          <w:bCs/>
          <w:sz w:val="28"/>
          <w:szCs w:val="28"/>
        </w:rPr>
        <w:tab/>
      </w:r>
      <w:r w:rsidRPr="0066597B">
        <w:rPr>
          <w:sz w:val="28"/>
          <w:szCs w:val="28"/>
        </w:rPr>
        <w:t xml:space="preserve">A </w:t>
      </w:r>
      <w:proofErr w:type="spellStart"/>
      <w:r w:rsidRPr="0066597B">
        <w:rPr>
          <w:sz w:val="28"/>
          <w:szCs w:val="28"/>
        </w:rPr>
        <w:t>menos</w:t>
      </w:r>
      <w:proofErr w:type="spellEnd"/>
      <w:r w:rsidRPr="0066597B">
        <w:rPr>
          <w:sz w:val="28"/>
          <w:szCs w:val="28"/>
        </w:rPr>
        <w:t xml:space="preserve"> que </w:t>
      </w:r>
      <w:proofErr w:type="spellStart"/>
      <w:r w:rsidRPr="0066597B">
        <w:rPr>
          <w:sz w:val="28"/>
          <w:szCs w:val="28"/>
        </w:rPr>
        <w:t>esté</w:t>
      </w:r>
      <w:proofErr w:type="spellEnd"/>
      <w:r w:rsidRPr="0066597B">
        <w:rPr>
          <w:sz w:val="28"/>
          <w:szCs w:val="28"/>
        </w:rPr>
        <w:t xml:space="preserve"> </w:t>
      </w:r>
      <w:proofErr w:type="spellStart"/>
      <w:r w:rsidRPr="0066597B">
        <w:rPr>
          <w:sz w:val="28"/>
          <w:szCs w:val="28"/>
        </w:rPr>
        <w:t>encriptado</w:t>
      </w:r>
      <w:proofErr w:type="spellEnd"/>
      <w:r w:rsidRPr="0066597B">
        <w:rPr>
          <w:sz w:val="28"/>
          <w:szCs w:val="28"/>
        </w:rPr>
        <w:t xml:space="preserve">, </w:t>
      </w:r>
      <w:proofErr w:type="spellStart"/>
      <w:r w:rsidRPr="0066597B">
        <w:rPr>
          <w:sz w:val="28"/>
          <w:szCs w:val="28"/>
        </w:rPr>
        <w:t>está</w:t>
      </w:r>
      <w:proofErr w:type="spellEnd"/>
      <w:r w:rsidRPr="0066597B">
        <w:rPr>
          <w:sz w:val="28"/>
          <w:szCs w:val="28"/>
        </w:rPr>
        <w:t xml:space="preserve"> </w:t>
      </w:r>
      <w:proofErr w:type="spellStart"/>
      <w:r w:rsidRPr="0066597B">
        <w:rPr>
          <w:sz w:val="28"/>
          <w:szCs w:val="28"/>
        </w:rPr>
        <w:t>prohibido</w:t>
      </w:r>
      <w:proofErr w:type="spellEnd"/>
      <w:r w:rsidRPr="0066597B">
        <w:rPr>
          <w:sz w:val="28"/>
          <w:szCs w:val="28"/>
        </w:rPr>
        <w:t xml:space="preserve"> </w:t>
      </w:r>
      <w:proofErr w:type="spellStart"/>
      <w:r w:rsidRPr="0066597B">
        <w:rPr>
          <w:sz w:val="28"/>
          <w:szCs w:val="28"/>
        </w:rPr>
        <w:t>enviar</w:t>
      </w:r>
      <w:proofErr w:type="spellEnd"/>
      <w:r w:rsidRPr="0066597B">
        <w:rPr>
          <w:sz w:val="28"/>
          <w:szCs w:val="28"/>
        </w:rPr>
        <w:t xml:space="preserve"> </w:t>
      </w:r>
      <w:proofErr w:type="spellStart"/>
      <w:r w:rsidRPr="0066597B">
        <w:rPr>
          <w:sz w:val="28"/>
          <w:szCs w:val="28"/>
        </w:rPr>
        <w:t>por</w:t>
      </w:r>
      <w:proofErr w:type="spellEnd"/>
      <w:r w:rsidRPr="0066597B">
        <w:rPr>
          <w:sz w:val="28"/>
          <w:szCs w:val="28"/>
        </w:rPr>
        <w:t xml:space="preserve"> </w:t>
      </w:r>
      <w:proofErr w:type="spellStart"/>
      <w:r w:rsidRPr="0066597B">
        <w:rPr>
          <w:sz w:val="28"/>
          <w:szCs w:val="28"/>
        </w:rPr>
        <w:t>correo</w:t>
      </w:r>
      <w:proofErr w:type="spellEnd"/>
      <w:r w:rsidRPr="0066597B">
        <w:rPr>
          <w:sz w:val="28"/>
          <w:szCs w:val="28"/>
        </w:rPr>
        <w:t xml:space="preserve"> </w:t>
      </w:r>
      <w:proofErr w:type="spellStart"/>
      <w:r w:rsidRPr="0066597B">
        <w:rPr>
          <w:sz w:val="28"/>
          <w:szCs w:val="28"/>
        </w:rPr>
        <w:t>electrónico</w:t>
      </w:r>
      <w:proofErr w:type="spellEnd"/>
      <w:r w:rsidRPr="0066597B">
        <w:rPr>
          <w:sz w:val="28"/>
          <w:szCs w:val="28"/>
        </w:rPr>
        <w:t xml:space="preserve"> </w:t>
      </w:r>
      <w:proofErr w:type="spellStart"/>
      <w:r w:rsidRPr="0066597B">
        <w:rPr>
          <w:sz w:val="28"/>
          <w:szCs w:val="28"/>
        </w:rPr>
        <w:t>información</w:t>
      </w:r>
      <w:proofErr w:type="spellEnd"/>
      <w:r w:rsidRPr="0066597B">
        <w:rPr>
          <w:sz w:val="28"/>
          <w:szCs w:val="28"/>
        </w:rPr>
        <w:t xml:space="preserve"> </w:t>
      </w:r>
      <w:proofErr w:type="spellStart"/>
      <w:r w:rsidRPr="0066597B">
        <w:rPr>
          <w:sz w:val="28"/>
          <w:szCs w:val="28"/>
        </w:rPr>
        <w:t>médica</w:t>
      </w:r>
      <w:proofErr w:type="spellEnd"/>
      <w:r w:rsidRPr="0066597B">
        <w:rPr>
          <w:sz w:val="28"/>
          <w:szCs w:val="28"/>
        </w:rPr>
        <w:t xml:space="preserve"> </w:t>
      </w:r>
      <w:proofErr w:type="spellStart"/>
      <w:r w:rsidRPr="0066597B">
        <w:rPr>
          <w:sz w:val="28"/>
          <w:szCs w:val="28"/>
        </w:rPr>
        <w:t>protegida</w:t>
      </w:r>
      <w:proofErr w:type="spellEnd"/>
      <w:r w:rsidRPr="0066597B">
        <w:rPr>
          <w:sz w:val="28"/>
          <w:szCs w:val="28"/>
        </w:rPr>
        <w:t xml:space="preserve"> [PHI] e </w:t>
      </w:r>
      <w:proofErr w:type="spellStart"/>
      <w:r w:rsidRPr="0066597B">
        <w:rPr>
          <w:sz w:val="28"/>
          <w:szCs w:val="28"/>
        </w:rPr>
        <w:t>información</w:t>
      </w:r>
      <w:proofErr w:type="spellEnd"/>
      <w:r w:rsidRPr="0066597B">
        <w:rPr>
          <w:sz w:val="28"/>
          <w:szCs w:val="28"/>
        </w:rPr>
        <w:t xml:space="preserve"> de </w:t>
      </w:r>
      <w:proofErr w:type="spellStart"/>
      <w:r w:rsidRPr="0066597B">
        <w:rPr>
          <w:sz w:val="28"/>
          <w:szCs w:val="28"/>
        </w:rPr>
        <w:t>identificación</w:t>
      </w:r>
      <w:proofErr w:type="spellEnd"/>
      <w:r w:rsidRPr="0066597B">
        <w:rPr>
          <w:sz w:val="28"/>
          <w:szCs w:val="28"/>
        </w:rPr>
        <w:t xml:space="preserve"> personal [PII].</w:t>
      </w:r>
    </w:p>
    <w:p w14:paraId="53201031" w14:textId="77777777" w:rsidR="002471F2" w:rsidRPr="0066597B" w:rsidRDefault="002471F2" w:rsidP="00564D9F">
      <w:pPr>
        <w:pStyle w:val="BodyTextIndent3"/>
        <w:spacing w:after="240"/>
        <w:ind w:left="0"/>
        <w:rPr>
          <w:sz w:val="28"/>
          <w:szCs w:val="28"/>
        </w:rPr>
      </w:pPr>
      <w:r w:rsidRPr="0066597B">
        <w:rPr>
          <w:b/>
          <w:bCs/>
          <w:sz w:val="28"/>
          <w:szCs w:val="28"/>
        </w:rPr>
        <w:t xml:space="preserve">Procedimiento: </w:t>
      </w:r>
      <w:r w:rsidRPr="0066597B">
        <w:rPr>
          <w:sz w:val="28"/>
          <w:szCs w:val="28"/>
        </w:rPr>
        <w:tab/>
      </w:r>
    </w:p>
    <w:p w14:paraId="1019F6EE" w14:textId="79C02490" w:rsidR="002471F2" w:rsidRPr="0066597B" w:rsidRDefault="002471F2" w:rsidP="00D44E05">
      <w:pPr>
        <w:pStyle w:val="BodyTextIndent3"/>
        <w:numPr>
          <w:ilvl w:val="0"/>
          <w:numId w:val="2"/>
        </w:numPr>
        <w:spacing w:after="120"/>
        <w:rPr>
          <w:sz w:val="28"/>
          <w:szCs w:val="28"/>
        </w:rPr>
      </w:pPr>
      <w:r w:rsidRPr="0066597B">
        <w:rPr>
          <w:sz w:val="28"/>
          <w:szCs w:val="28"/>
        </w:rPr>
        <w:t xml:space="preserve">La información puede divulgarse en forma escrita o verbal. La divulgación de información se producirá una vez recibida la autorización válida, salvo lo indicado en G.1-2. La autorización está determinada por la presencia de cada uno de los siguientes: </w:t>
      </w:r>
    </w:p>
    <w:p w14:paraId="4F22B4BE" w14:textId="06D667EC" w:rsidR="002471F2" w:rsidRPr="0066597B" w:rsidRDefault="00923D6E" w:rsidP="00D44E05">
      <w:pPr>
        <w:pStyle w:val="BodyTextIndent3"/>
        <w:numPr>
          <w:ilvl w:val="1"/>
          <w:numId w:val="1"/>
        </w:numPr>
        <w:spacing w:before="240" w:after="120"/>
        <w:rPr>
          <w:sz w:val="28"/>
          <w:szCs w:val="28"/>
        </w:rPr>
      </w:pPr>
      <w:r w:rsidRPr="0066597B">
        <w:rPr>
          <w:sz w:val="28"/>
          <w:szCs w:val="28"/>
        </w:rPr>
        <w:t xml:space="preserve">Al momento de la admisión, la persona servida o tutor legal deberá completar, firmar y fechar el Formulario de divulgación de información que indica a las personas autorizadas para recibir información del consumidor.  </w:t>
      </w:r>
    </w:p>
    <w:p w14:paraId="017CC447" w14:textId="77777777" w:rsidR="002471F2" w:rsidRPr="0066597B" w:rsidRDefault="002471F2" w:rsidP="00D44E05">
      <w:pPr>
        <w:pStyle w:val="BodyTextIndent3"/>
        <w:numPr>
          <w:ilvl w:val="1"/>
          <w:numId w:val="1"/>
        </w:numPr>
        <w:spacing w:after="120"/>
        <w:rPr>
          <w:sz w:val="28"/>
          <w:szCs w:val="28"/>
        </w:rPr>
      </w:pPr>
      <w:r w:rsidRPr="0066597B">
        <w:rPr>
          <w:sz w:val="28"/>
          <w:szCs w:val="28"/>
        </w:rPr>
        <w:t>Contenido específico de la información que se divulgará.</w:t>
      </w:r>
    </w:p>
    <w:p w14:paraId="2A8296CF" w14:textId="77777777" w:rsidR="002471F2" w:rsidRPr="0066597B" w:rsidRDefault="002471F2" w:rsidP="00D44E05">
      <w:pPr>
        <w:pStyle w:val="BodyTextIndent3"/>
        <w:numPr>
          <w:ilvl w:val="1"/>
          <w:numId w:val="1"/>
        </w:numPr>
        <w:spacing w:after="120"/>
        <w:rPr>
          <w:sz w:val="28"/>
          <w:szCs w:val="28"/>
        </w:rPr>
      </w:pPr>
      <w:r w:rsidRPr="0066597B">
        <w:rPr>
          <w:sz w:val="28"/>
          <w:szCs w:val="28"/>
        </w:rPr>
        <w:t>Persona a la que se divulgará la información.</w:t>
      </w:r>
    </w:p>
    <w:p w14:paraId="6EE053D2" w14:textId="0D17CB62" w:rsidR="00403DDC" w:rsidRPr="0066597B" w:rsidRDefault="00200876" w:rsidP="00D44E05">
      <w:pPr>
        <w:pStyle w:val="BodyTextIndent3"/>
        <w:numPr>
          <w:ilvl w:val="1"/>
          <w:numId w:val="1"/>
        </w:numPr>
        <w:spacing w:after="120"/>
        <w:rPr>
          <w:sz w:val="28"/>
          <w:szCs w:val="28"/>
        </w:rPr>
      </w:pPr>
      <w:r w:rsidRPr="0066597B">
        <w:rPr>
          <w:sz w:val="28"/>
          <w:szCs w:val="28"/>
        </w:rPr>
        <w:t xml:space="preserve">Formulario de divulgación de información, incluida la notificación de que la autorización de </w:t>
      </w:r>
      <w:proofErr w:type="spellStart"/>
      <w:r w:rsidRPr="0066597B">
        <w:rPr>
          <w:sz w:val="28"/>
          <w:szCs w:val="28"/>
        </w:rPr>
        <w:t>divulgación</w:t>
      </w:r>
      <w:proofErr w:type="spellEnd"/>
      <w:r w:rsidRPr="0066597B">
        <w:rPr>
          <w:sz w:val="28"/>
          <w:szCs w:val="28"/>
        </w:rPr>
        <w:t xml:space="preserve"> de </w:t>
      </w:r>
      <w:proofErr w:type="spellStart"/>
      <w:r w:rsidRPr="0066597B">
        <w:rPr>
          <w:sz w:val="28"/>
          <w:szCs w:val="28"/>
        </w:rPr>
        <w:t>información</w:t>
      </w:r>
      <w:proofErr w:type="spellEnd"/>
      <w:r w:rsidRPr="0066597B">
        <w:rPr>
          <w:sz w:val="28"/>
          <w:szCs w:val="28"/>
        </w:rPr>
        <w:t xml:space="preserve"> </w:t>
      </w:r>
      <w:proofErr w:type="spellStart"/>
      <w:r w:rsidRPr="0066597B">
        <w:rPr>
          <w:sz w:val="28"/>
          <w:szCs w:val="28"/>
        </w:rPr>
        <w:t>expira</w:t>
      </w:r>
      <w:proofErr w:type="spellEnd"/>
      <w:r w:rsidRPr="0066597B">
        <w:rPr>
          <w:sz w:val="28"/>
          <w:szCs w:val="28"/>
        </w:rPr>
        <w:t xml:space="preserve"> seis </w:t>
      </w:r>
      <w:r w:rsidR="00596DEC" w:rsidRPr="0066597B">
        <w:rPr>
          <w:sz w:val="28"/>
          <w:szCs w:val="28"/>
        </w:rPr>
        <w:t xml:space="preserve">(6) </w:t>
      </w:r>
      <w:r w:rsidRPr="0066597B">
        <w:rPr>
          <w:sz w:val="28"/>
          <w:szCs w:val="28"/>
        </w:rPr>
        <w:t xml:space="preserve">meses </w:t>
      </w:r>
      <w:proofErr w:type="spellStart"/>
      <w:r w:rsidRPr="0066597B">
        <w:rPr>
          <w:sz w:val="28"/>
          <w:szCs w:val="28"/>
        </w:rPr>
        <w:t>después</w:t>
      </w:r>
      <w:proofErr w:type="spellEnd"/>
      <w:r w:rsidRPr="0066597B">
        <w:rPr>
          <w:sz w:val="28"/>
          <w:szCs w:val="28"/>
        </w:rPr>
        <w:t xml:space="preserve"> de la </w:t>
      </w:r>
      <w:proofErr w:type="spellStart"/>
      <w:r w:rsidRPr="0066597B">
        <w:rPr>
          <w:sz w:val="28"/>
          <w:szCs w:val="28"/>
        </w:rPr>
        <w:t>fecha</w:t>
      </w:r>
      <w:proofErr w:type="spellEnd"/>
      <w:r w:rsidRPr="0066597B">
        <w:rPr>
          <w:sz w:val="28"/>
          <w:szCs w:val="28"/>
        </w:rPr>
        <w:t xml:space="preserve"> de autorización, a menos que se indique lo contrario. Este formulario se actualizará semestralmente, a menos que se indique lo contrario y se mantenga en el registro del caso del consumidor.     </w:t>
      </w:r>
    </w:p>
    <w:p w14:paraId="2EFC95B7" w14:textId="77777777" w:rsidR="002471F2" w:rsidRPr="0066597B" w:rsidRDefault="002471F2" w:rsidP="00D44E05">
      <w:pPr>
        <w:pStyle w:val="BodyTextIndent3"/>
        <w:numPr>
          <w:ilvl w:val="0"/>
          <w:numId w:val="1"/>
        </w:numPr>
        <w:spacing w:after="120"/>
        <w:rPr>
          <w:sz w:val="28"/>
          <w:szCs w:val="28"/>
        </w:rPr>
      </w:pPr>
      <w:r w:rsidRPr="0066597B">
        <w:rPr>
          <w:sz w:val="28"/>
          <w:szCs w:val="28"/>
        </w:rPr>
        <w:t>Solicitudes de información:</w:t>
      </w:r>
    </w:p>
    <w:p w14:paraId="2B085770" w14:textId="2B3081E3" w:rsidR="002471F2" w:rsidRPr="0066597B" w:rsidRDefault="008E6ECE" w:rsidP="00D44E05">
      <w:pPr>
        <w:pStyle w:val="BodyTextIndent3"/>
        <w:numPr>
          <w:ilvl w:val="1"/>
          <w:numId w:val="1"/>
        </w:numPr>
        <w:spacing w:after="120"/>
        <w:rPr>
          <w:sz w:val="28"/>
          <w:szCs w:val="28"/>
        </w:rPr>
      </w:pPr>
      <w:proofErr w:type="spellStart"/>
      <w:r w:rsidRPr="0066597B">
        <w:rPr>
          <w:sz w:val="28"/>
          <w:szCs w:val="28"/>
        </w:rPr>
        <w:t>Todas</w:t>
      </w:r>
      <w:proofErr w:type="spellEnd"/>
      <w:r w:rsidRPr="0066597B">
        <w:rPr>
          <w:sz w:val="28"/>
          <w:szCs w:val="28"/>
        </w:rPr>
        <w:t xml:space="preserve"> las solicitudes de </w:t>
      </w:r>
      <w:proofErr w:type="spellStart"/>
      <w:r w:rsidRPr="0066597B">
        <w:rPr>
          <w:sz w:val="28"/>
          <w:szCs w:val="28"/>
        </w:rPr>
        <w:t>divulgación</w:t>
      </w:r>
      <w:proofErr w:type="spellEnd"/>
      <w:r w:rsidRPr="0066597B">
        <w:rPr>
          <w:sz w:val="28"/>
          <w:szCs w:val="28"/>
        </w:rPr>
        <w:t xml:space="preserve"> de </w:t>
      </w:r>
      <w:proofErr w:type="spellStart"/>
      <w:r w:rsidRPr="0066597B">
        <w:rPr>
          <w:sz w:val="28"/>
          <w:szCs w:val="28"/>
        </w:rPr>
        <w:t>información</w:t>
      </w:r>
      <w:proofErr w:type="spellEnd"/>
      <w:r w:rsidRPr="0066597B">
        <w:rPr>
          <w:sz w:val="28"/>
          <w:szCs w:val="28"/>
        </w:rPr>
        <w:t xml:space="preserve"> </w:t>
      </w:r>
      <w:proofErr w:type="spellStart"/>
      <w:r w:rsidRPr="0066597B">
        <w:rPr>
          <w:sz w:val="28"/>
          <w:szCs w:val="28"/>
        </w:rPr>
        <w:t>escrita</w:t>
      </w:r>
      <w:proofErr w:type="spellEnd"/>
      <w:r w:rsidRPr="0066597B">
        <w:rPr>
          <w:sz w:val="28"/>
          <w:szCs w:val="28"/>
        </w:rPr>
        <w:t xml:space="preserve"> se </w:t>
      </w:r>
      <w:proofErr w:type="spellStart"/>
      <w:r w:rsidRPr="0066597B">
        <w:rPr>
          <w:sz w:val="28"/>
          <w:szCs w:val="28"/>
        </w:rPr>
        <w:t>presentarán</w:t>
      </w:r>
      <w:proofErr w:type="spellEnd"/>
      <w:r w:rsidRPr="0066597B">
        <w:rPr>
          <w:sz w:val="28"/>
          <w:szCs w:val="28"/>
        </w:rPr>
        <w:t xml:space="preserve"> </w:t>
      </w:r>
      <w:r w:rsidR="00596DEC" w:rsidRPr="0066597B">
        <w:rPr>
          <w:color w:val="000000"/>
          <w:sz w:val="28"/>
          <w:szCs w:val="28"/>
          <w:lang w:val="es"/>
        </w:rPr>
        <w:t xml:space="preserve">la Vicepresidenta </w:t>
      </w:r>
      <w:r w:rsidRPr="0066597B">
        <w:rPr>
          <w:sz w:val="28"/>
          <w:szCs w:val="28"/>
        </w:rPr>
        <w:t xml:space="preserve">de </w:t>
      </w:r>
      <w:proofErr w:type="spellStart"/>
      <w:r w:rsidRPr="0066597B">
        <w:rPr>
          <w:sz w:val="28"/>
          <w:szCs w:val="28"/>
        </w:rPr>
        <w:t>Mejora</w:t>
      </w:r>
      <w:proofErr w:type="spellEnd"/>
      <w:r w:rsidRPr="0066597B">
        <w:rPr>
          <w:sz w:val="28"/>
          <w:szCs w:val="28"/>
        </w:rPr>
        <w:t xml:space="preserve"> de la Calidad (</w:t>
      </w:r>
      <w:r w:rsidR="00596DEC" w:rsidRPr="0066597B">
        <w:rPr>
          <w:sz w:val="28"/>
          <w:szCs w:val="28"/>
        </w:rPr>
        <w:t>VP</w:t>
      </w:r>
      <w:r w:rsidRPr="0066597B">
        <w:rPr>
          <w:sz w:val="28"/>
          <w:szCs w:val="28"/>
        </w:rPr>
        <w:t xml:space="preserve">QI) de CODI, Taran </w:t>
      </w:r>
      <w:r w:rsidRPr="0066597B">
        <w:rPr>
          <w:sz w:val="28"/>
          <w:szCs w:val="28"/>
        </w:rPr>
        <w:lastRenderedPageBreak/>
        <w:t xml:space="preserve">Winchester. Las solicitudes deberán ser respondidas dentro de los treinta (30) días hábiles a partir de la fecha de recepción. Si no se puede proporcionar información dentro de este período, se informará por escrito al solicitante del motivo del retraso y la fecha de disponibilidad prevista. </w:t>
      </w:r>
      <w:r w:rsidR="00596DEC" w:rsidRPr="0066597B">
        <w:rPr>
          <w:sz w:val="28"/>
          <w:szCs w:val="28"/>
        </w:rPr>
        <w:t>VP</w:t>
      </w:r>
      <w:r w:rsidRPr="0066597B">
        <w:rPr>
          <w:sz w:val="28"/>
          <w:szCs w:val="28"/>
        </w:rPr>
        <w:t xml:space="preserve">QI </w:t>
      </w:r>
      <w:proofErr w:type="spellStart"/>
      <w:r w:rsidRPr="0066597B">
        <w:rPr>
          <w:sz w:val="28"/>
          <w:szCs w:val="28"/>
        </w:rPr>
        <w:t>mantendrá</w:t>
      </w:r>
      <w:proofErr w:type="spellEnd"/>
      <w:r w:rsidRPr="0066597B">
        <w:rPr>
          <w:sz w:val="28"/>
          <w:szCs w:val="28"/>
        </w:rPr>
        <w:t xml:space="preserve"> un </w:t>
      </w:r>
      <w:proofErr w:type="spellStart"/>
      <w:r w:rsidRPr="0066597B">
        <w:rPr>
          <w:sz w:val="28"/>
          <w:szCs w:val="28"/>
        </w:rPr>
        <w:t>registro</w:t>
      </w:r>
      <w:proofErr w:type="spellEnd"/>
      <w:r w:rsidRPr="0066597B">
        <w:rPr>
          <w:sz w:val="28"/>
          <w:szCs w:val="28"/>
        </w:rPr>
        <w:t xml:space="preserve"> de la información divulgada.</w:t>
      </w:r>
    </w:p>
    <w:p w14:paraId="7A0F21E0" w14:textId="7DE550F1" w:rsidR="00564D9F" w:rsidRPr="0066597B" w:rsidRDefault="002471F2" w:rsidP="00D44E05">
      <w:pPr>
        <w:pStyle w:val="BodyTextIndent3"/>
        <w:numPr>
          <w:ilvl w:val="1"/>
          <w:numId w:val="1"/>
        </w:numPr>
        <w:spacing w:after="120"/>
        <w:rPr>
          <w:sz w:val="28"/>
          <w:szCs w:val="28"/>
        </w:rPr>
      </w:pPr>
      <w:r w:rsidRPr="0066597B">
        <w:rPr>
          <w:sz w:val="28"/>
          <w:szCs w:val="28"/>
        </w:rPr>
        <w:t>Las solicitudes de información generada externamente incorporada a los registros de CODI no serán atendidas. Se aconsejará al solicitante que busque registros de la fuente original.</w:t>
      </w:r>
    </w:p>
    <w:p w14:paraId="31938570" w14:textId="03CFAE97" w:rsidR="00651CA2" w:rsidRPr="0066597B" w:rsidRDefault="00564D9F" w:rsidP="00D44E05">
      <w:pPr>
        <w:pStyle w:val="BodyTextIndent3"/>
        <w:numPr>
          <w:ilvl w:val="1"/>
          <w:numId w:val="1"/>
        </w:numPr>
        <w:spacing w:after="120"/>
        <w:rPr>
          <w:sz w:val="28"/>
          <w:szCs w:val="28"/>
        </w:rPr>
      </w:pPr>
      <w:r w:rsidRPr="0066597B">
        <w:rPr>
          <w:sz w:val="28"/>
          <w:szCs w:val="28"/>
        </w:rPr>
        <w:t xml:space="preserve">La solicitud de información verbal se realizará únicamente con una autorización por escrito para divulgar información firmada por el consumidor o tutor.   </w:t>
      </w:r>
    </w:p>
    <w:p w14:paraId="69D32C49" w14:textId="77777777" w:rsidR="002471F2" w:rsidRPr="0066597B" w:rsidRDefault="00C13E4B" w:rsidP="00D44E05">
      <w:pPr>
        <w:pStyle w:val="BodyTextIndent3"/>
        <w:numPr>
          <w:ilvl w:val="0"/>
          <w:numId w:val="1"/>
        </w:numPr>
        <w:spacing w:after="120"/>
        <w:rPr>
          <w:sz w:val="28"/>
          <w:szCs w:val="28"/>
        </w:rPr>
      </w:pPr>
      <w:r w:rsidRPr="0066597B">
        <w:rPr>
          <w:sz w:val="28"/>
          <w:szCs w:val="28"/>
        </w:rPr>
        <w:t>Divulgación discrecional de información:</w:t>
      </w:r>
    </w:p>
    <w:p w14:paraId="6556D5A4" w14:textId="5169859C" w:rsidR="002471F2" w:rsidRPr="0066597B" w:rsidRDefault="002471F2" w:rsidP="00D44E05">
      <w:pPr>
        <w:pStyle w:val="BodyTextIndent3"/>
        <w:numPr>
          <w:ilvl w:val="1"/>
          <w:numId w:val="1"/>
        </w:numPr>
        <w:spacing w:after="120"/>
        <w:rPr>
          <w:sz w:val="28"/>
          <w:szCs w:val="28"/>
        </w:rPr>
      </w:pPr>
      <w:r w:rsidRPr="0066597B">
        <w:rPr>
          <w:sz w:val="28"/>
          <w:szCs w:val="28"/>
        </w:rPr>
        <w:t>La información contenida en los registros individuales puede afectar seriamente la salud mental o física de un individuo si se divulga al individuo. Dicha información puede incluir materiales que requieran una explicación o interpretación para ayudar en su aceptación o asimilación para evitar un impacto adverso. Las siguientes pautas se aplican para minimizar el riesgo de que una divulgación de información afecte negativamente a una persona atendida:</w:t>
      </w:r>
    </w:p>
    <w:p w14:paraId="4F4EEEB6" w14:textId="673A52F2" w:rsidR="002471F2" w:rsidRPr="0066597B" w:rsidRDefault="00596DEC" w:rsidP="00D44E05">
      <w:pPr>
        <w:pStyle w:val="BodyTextIndent3"/>
        <w:numPr>
          <w:ilvl w:val="2"/>
          <w:numId w:val="1"/>
        </w:numPr>
        <w:spacing w:after="120"/>
        <w:rPr>
          <w:sz w:val="28"/>
          <w:szCs w:val="28"/>
        </w:rPr>
      </w:pPr>
      <w:r w:rsidRPr="0066597B">
        <w:rPr>
          <w:sz w:val="28"/>
          <w:szCs w:val="28"/>
        </w:rPr>
        <w:t>VP</w:t>
      </w:r>
      <w:r w:rsidR="00F5582A" w:rsidRPr="0066597B">
        <w:rPr>
          <w:sz w:val="28"/>
          <w:szCs w:val="28"/>
        </w:rPr>
        <w:t xml:space="preserve">QI </w:t>
      </w:r>
      <w:proofErr w:type="spellStart"/>
      <w:r w:rsidR="00F5582A" w:rsidRPr="0066597B">
        <w:rPr>
          <w:sz w:val="28"/>
          <w:szCs w:val="28"/>
        </w:rPr>
        <w:t>notificará</w:t>
      </w:r>
      <w:proofErr w:type="spellEnd"/>
      <w:r w:rsidR="00F5582A" w:rsidRPr="0066597B">
        <w:rPr>
          <w:sz w:val="28"/>
          <w:szCs w:val="28"/>
        </w:rPr>
        <w:t xml:space="preserve"> al Jefe de Departamento, quien revisará el archivo del individuo e identificará información potencialmente sensible o dañina dentro de los diez (10) días hábiles posteriores a la recepción de la solicitud.  </w:t>
      </w:r>
    </w:p>
    <w:p w14:paraId="222898CE" w14:textId="2367E4F6" w:rsidR="007B1D08" w:rsidRPr="0066597B" w:rsidRDefault="00BE611F" w:rsidP="00D44E05">
      <w:pPr>
        <w:pStyle w:val="BodyTextIndent3"/>
        <w:numPr>
          <w:ilvl w:val="2"/>
          <w:numId w:val="1"/>
        </w:numPr>
        <w:spacing w:after="120"/>
        <w:rPr>
          <w:sz w:val="28"/>
          <w:szCs w:val="28"/>
        </w:rPr>
      </w:pPr>
      <w:r w:rsidRPr="0066597B">
        <w:rPr>
          <w:sz w:val="28"/>
          <w:szCs w:val="28"/>
        </w:rPr>
        <w:t xml:space="preserve">Si el personal determina que el acceso a la información podría ser perjudicial, se denegará el acceso. </w:t>
      </w:r>
      <w:r w:rsidR="00596DEC" w:rsidRPr="0066597B">
        <w:rPr>
          <w:sz w:val="28"/>
          <w:szCs w:val="28"/>
        </w:rPr>
        <w:t>VP</w:t>
      </w:r>
      <w:r w:rsidRPr="0066597B">
        <w:rPr>
          <w:sz w:val="28"/>
          <w:szCs w:val="28"/>
        </w:rPr>
        <w:t xml:space="preserve">QI </w:t>
      </w:r>
      <w:proofErr w:type="spellStart"/>
      <w:r w:rsidRPr="0066597B">
        <w:rPr>
          <w:sz w:val="28"/>
          <w:szCs w:val="28"/>
        </w:rPr>
        <w:t>documentará</w:t>
      </w:r>
      <w:proofErr w:type="spellEnd"/>
      <w:r w:rsidRPr="0066597B">
        <w:rPr>
          <w:sz w:val="28"/>
          <w:szCs w:val="28"/>
        </w:rPr>
        <w:t xml:space="preserve"> </w:t>
      </w:r>
      <w:proofErr w:type="spellStart"/>
      <w:r w:rsidRPr="0066597B">
        <w:rPr>
          <w:sz w:val="28"/>
          <w:szCs w:val="28"/>
        </w:rPr>
        <w:t>completamente</w:t>
      </w:r>
      <w:proofErr w:type="spellEnd"/>
      <w:r w:rsidRPr="0066597B">
        <w:rPr>
          <w:sz w:val="28"/>
          <w:szCs w:val="28"/>
        </w:rPr>
        <w:t xml:space="preserve"> la </w:t>
      </w:r>
      <w:proofErr w:type="spellStart"/>
      <w:r w:rsidRPr="0066597B">
        <w:rPr>
          <w:sz w:val="28"/>
          <w:szCs w:val="28"/>
        </w:rPr>
        <w:t>justificación</w:t>
      </w:r>
      <w:proofErr w:type="spellEnd"/>
      <w:r w:rsidRPr="0066597B">
        <w:rPr>
          <w:sz w:val="28"/>
          <w:szCs w:val="28"/>
        </w:rPr>
        <w:t xml:space="preserve"> de la denegación. Si </w:t>
      </w:r>
      <w:proofErr w:type="spellStart"/>
      <w:r w:rsidRPr="0066597B">
        <w:rPr>
          <w:sz w:val="28"/>
          <w:szCs w:val="28"/>
        </w:rPr>
        <w:t>esto</w:t>
      </w:r>
      <w:proofErr w:type="spellEnd"/>
      <w:r w:rsidRPr="0066597B">
        <w:rPr>
          <w:sz w:val="28"/>
          <w:szCs w:val="28"/>
        </w:rPr>
        <w:t xml:space="preserve"> </w:t>
      </w:r>
      <w:proofErr w:type="spellStart"/>
      <w:r w:rsidRPr="0066597B">
        <w:rPr>
          <w:sz w:val="28"/>
          <w:szCs w:val="28"/>
        </w:rPr>
        <w:t>ocurre</w:t>
      </w:r>
      <w:proofErr w:type="spellEnd"/>
      <w:r w:rsidRPr="0066597B">
        <w:rPr>
          <w:sz w:val="28"/>
          <w:szCs w:val="28"/>
        </w:rPr>
        <w:t xml:space="preserve">, </w:t>
      </w:r>
      <w:r w:rsidR="00596DEC" w:rsidRPr="0066597B">
        <w:rPr>
          <w:sz w:val="28"/>
          <w:szCs w:val="28"/>
        </w:rPr>
        <w:t>VP</w:t>
      </w:r>
      <w:r w:rsidRPr="0066597B">
        <w:rPr>
          <w:sz w:val="28"/>
          <w:szCs w:val="28"/>
        </w:rPr>
        <w:t xml:space="preserve">QI </w:t>
      </w:r>
      <w:proofErr w:type="spellStart"/>
      <w:r w:rsidRPr="0066597B">
        <w:rPr>
          <w:sz w:val="28"/>
          <w:szCs w:val="28"/>
        </w:rPr>
        <w:t>notificará</w:t>
      </w:r>
      <w:proofErr w:type="spellEnd"/>
      <w:r w:rsidRPr="0066597B">
        <w:rPr>
          <w:sz w:val="28"/>
          <w:szCs w:val="28"/>
        </w:rPr>
        <w:t xml:space="preserve"> al </w:t>
      </w:r>
      <w:proofErr w:type="spellStart"/>
      <w:r w:rsidRPr="0066597B">
        <w:rPr>
          <w:sz w:val="28"/>
          <w:szCs w:val="28"/>
        </w:rPr>
        <w:t>individuo</w:t>
      </w:r>
      <w:proofErr w:type="spellEnd"/>
      <w:r w:rsidRPr="0066597B">
        <w:rPr>
          <w:sz w:val="28"/>
          <w:szCs w:val="28"/>
        </w:rPr>
        <w:t xml:space="preserve"> la </w:t>
      </w:r>
      <w:proofErr w:type="spellStart"/>
      <w:r w:rsidRPr="0066597B">
        <w:rPr>
          <w:sz w:val="28"/>
          <w:szCs w:val="28"/>
        </w:rPr>
        <w:t>razón</w:t>
      </w:r>
      <w:proofErr w:type="spellEnd"/>
      <w:r w:rsidRPr="0066597B">
        <w:rPr>
          <w:sz w:val="28"/>
          <w:szCs w:val="28"/>
        </w:rPr>
        <w:t xml:space="preserve"> de la denegación y el derecho a apelar la decisión al Presidente / CEO, quien tomará la determinación final.  </w:t>
      </w:r>
    </w:p>
    <w:p w14:paraId="0A7AE4C4" w14:textId="770067C8" w:rsidR="00FD192B" w:rsidRPr="0066597B" w:rsidRDefault="007B1D08" w:rsidP="00D44E05">
      <w:pPr>
        <w:pStyle w:val="BodyTextIndent3"/>
        <w:numPr>
          <w:ilvl w:val="1"/>
          <w:numId w:val="1"/>
        </w:numPr>
        <w:tabs>
          <w:tab w:val="left" w:pos="1440"/>
          <w:tab w:val="left" w:pos="1530"/>
        </w:tabs>
        <w:spacing w:after="120"/>
        <w:rPr>
          <w:sz w:val="28"/>
          <w:szCs w:val="28"/>
        </w:rPr>
      </w:pPr>
      <w:r w:rsidRPr="0066597B">
        <w:rPr>
          <w:sz w:val="28"/>
          <w:szCs w:val="28"/>
        </w:rPr>
        <w:t>Los registros que están protegidos por la ley, como la información individual sobre el VIH / SIDA y el uso individual de drogas y alcohol, no se divulgarán sin una autorización específica para divulgar dicha información u orden judicial.</w:t>
      </w:r>
    </w:p>
    <w:p w14:paraId="27A6E316" w14:textId="77777777" w:rsidR="00CE4792" w:rsidRPr="0066597B" w:rsidRDefault="00CE4792" w:rsidP="00D44E05">
      <w:pPr>
        <w:pStyle w:val="BodyTextIndent3"/>
        <w:numPr>
          <w:ilvl w:val="1"/>
          <w:numId w:val="1"/>
        </w:numPr>
        <w:tabs>
          <w:tab w:val="left" w:pos="1440"/>
          <w:tab w:val="left" w:pos="1530"/>
        </w:tabs>
        <w:spacing w:after="120"/>
        <w:rPr>
          <w:sz w:val="28"/>
          <w:szCs w:val="28"/>
        </w:rPr>
      </w:pPr>
      <w:r w:rsidRPr="0066597B">
        <w:rPr>
          <w:sz w:val="28"/>
          <w:szCs w:val="28"/>
        </w:rPr>
        <w:t>Los siguientes registros solo pueden divulgarse por orden judicial:</w:t>
      </w:r>
    </w:p>
    <w:p w14:paraId="48627917" w14:textId="34F74471" w:rsidR="00CE4792" w:rsidRPr="0066597B" w:rsidRDefault="00FA2BBD" w:rsidP="00D44E05">
      <w:pPr>
        <w:pStyle w:val="BodyTextIndent3"/>
        <w:numPr>
          <w:ilvl w:val="2"/>
          <w:numId w:val="1"/>
        </w:numPr>
        <w:tabs>
          <w:tab w:val="left" w:pos="1440"/>
          <w:tab w:val="left" w:pos="1530"/>
        </w:tabs>
        <w:spacing w:after="120"/>
        <w:rPr>
          <w:sz w:val="28"/>
          <w:szCs w:val="28"/>
        </w:rPr>
      </w:pPr>
      <w:r w:rsidRPr="0066597B">
        <w:rPr>
          <w:sz w:val="28"/>
          <w:szCs w:val="28"/>
        </w:rPr>
        <w:t>Materiales relacionados con una investigación pendiente de un incidente crítico / inusual;</w:t>
      </w:r>
    </w:p>
    <w:p w14:paraId="04CC46BE" w14:textId="77777777" w:rsidR="00CE4792" w:rsidRPr="0066597B" w:rsidRDefault="00CE4792" w:rsidP="00D44E05">
      <w:pPr>
        <w:pStyle w:val="BodyTextIndent3"/>
        <w:numPr>
          <w:ilvl w:val="2"/>
          <w:numId w:val="1"/>
        </w:numPr>
        <w:tabs>
          <w:tab w:val="left" w:pos="1440"/>
          <w:tab w:val="left" w:pos="1530"/>
        </w:tabs>
        <w:spacing w:after="120"/>
        <w:rPr>
          <w:sz w:val="28"/>
          <w:szCs w:val="28"/>
        </w:rPr>
      </w:pPr>
      <w:r w:rsidRPr="0066597B">
        <w:rPr>
          <w:sz w:val="28"/>
          <w:szCs w:val="28"/>
        </w:rPr>
        <w:lastRenderedPageBreak/>
        <w:t>Direcciones de residencias comunitarias autorizadas por DDD o DMHAS;</w:t>
      </w:r>
    </w:p>
    <w:p w14:paraId="2BC2A344" w14:textId="5A04E75B" w:rsidR="00CE4792" w:rsidRPr="0066597B" w:rsidRDefault="00CE4792" w:rsidP="00D44E05">
      <w:pPr>
        <w:pStyle w:val="BodyTextIndent3"/>
        <w:numPr>
          <w:ilvl w:val="2"/>
          <w:numId w:val="1"/>
        </w:numPr>
        <w:tabs>
          <w:tab w:val="left" w:pos="1440"/>
          <w:tab w:val="left" w:pos="1530"/>
        </w:tabs>
        <w:spacing w:after="120"/>
        <w:rPr>
          <w:sz w:val="28"/>
          <w:szCs w:val="28"/>
        </w:rPr>
      </w:pPr>
      <w:r w:rsidRPr="0066597B">
        <w:rPr>
          <w:sz w:val="28"/>
          <w:szCs w:val="28"/>
        </w:rPr>
        <w:t xml:space="preserve">Investigaciones realizadas por la División de Discapacidades del Desarrollo y la Oficina de Licencias de Salud Mental; </w:t>
      </w:r>
    </w:p>
    <w:p w14:paraId="670E6652" w14:textId="77777777" w:rsidR="003F5063" w:rsidRPr="0066597B" w:rsidRDefault="00FD192B" w:rsidP="00D44E05">
      <w:pPr>
        <w:pStyle w:val="BodyTextIndent3"/>
        <w:numPr>
          <w:ilvl w:val="2"/>
          <w:numId w:val="1"/>
        </w:numPr>
        <w:tabs>
          <w:tab w:val="left" w:pos="1440"/>
          <w:tab w:val="left" w:pos="1530"/>
        </w:tabs>
        <w:spacing w:after="120"/>
        <w:rPr>
          <w:sz w:val="28"/>
          <w:szCs w:val="28"/>
        </w:rPr>
      </w:pPr>
      <w:r w:rsidRPr="0066597B">
        <w:rPr>
          <w:sz w:val="28"/>
          <w:szCs w:val="28"/>
        </w:rPr>
        <w:t>Registros que de otra manera están protegidos por la ley; y</w:t>
      </w:r>
    </w:p>
    <w:p w14:paraId="3BA43593" w14:textId="395756F7" w:rsidR="009C7F72" w:rsidRPr="0066597B" w:rsidRDefault="009C7F72" w:rsidP="00D44E05">
      <w:pPr>
        <w:pStyle w:val="BodyTextIndent3"/>
        <w:numPr>
          <w:ilvl w:val="2"/>
          <w:numId w:val="1"/>
        </w:numPr>
        <w:tabs>
          <w:tab w:val="left" w:pos="1440"/>
          <w:tab w:val="left" w:pos="1530"/>
        </w:tabs>
        <w:spacing w:after="120"/>
        <w:rPr>
          <w:sz w:val="28"/>
          <w:szCs w:val="28"/>
        </w:rPr>
      </w:pPr>
      <w:r w:rsidRPr="0066597B">
        <w:rPr>
          <w:sz w:val="28"/>
          <w:szCs w:val="28"/>
        </w:rPr>
        <w:t xml:space="preserve">Información relacionada con demandas pendientes no penales que no sean demandas cubiertas por la compañía de seguros de CODI. </w:t>
      </w:r>
    </w:p>
    <w:p w14:paraId="095EC096" w14:textId="77777777" w:rsidR="007B1D08" w:rsidRPr="0066597B" w:rsidRDefault="007B1D08" w:rsidP="00D44E05">
      <w:pPr>
        <w:pStyle w:val="BodyTextIndent3"/>
        <w:numPr>
          <w:ilvl w:val="0"/>
          <w:numId w:val="1"/>
        </w:numPr>
        <w:tabs>
          <w:tab w:val="left" w:pos="1440"/>
          <w:tab w:val="left" w:pos="1530"/>
        </w:tabs>
        <w:spacing w:before="240" w:after="120"/>
        <w:contextualSpacing/>
        <w:rPr>
          <w:sz w:val="28"/>
          <w:szCs w:val="28"/>
        </w:rPr>
      </w:pPr>
      <w:r w:rsidRPr="0066597B">
        <w:rPr>
          <w:sz w:val="28"/>
          <w:szCs w:val="28"/>
        </w:rPr>
        <w:t>Redacción</w:t>
      </w:r>
    </w:p>
    <w:p w14:paraId="130EE7D4" w14:textId="77777777" w:rsidR="00A07165" w:rsidRPr="0066597B" w:rsidRDefault="00FB7BA8" w:rsidP="00D44E05">
      <w:pPr>
        <w:pStyle w:val="BodyTextIndent3"/>
        <w:numPr>
          <w:ilvl w:val="1"/>
          <w:numId w:val="1"/>
        </w:numPr>
        <w:tabs>
          <w:tab w:val="left" w:pos="1440"/>
          <w:tab w:val="left" w:pos="1530"/>
        </w:tabs>
        <w:spacing w:before="240" w:after="120"/>
        <w:rPr>
          <w:sz w:val="28"/>
          <w:szCs w:val="28"/>
        </w:rPr>
      </w:pPr>
      <w:r w:rsidRPr="0066597B">
        <w:rPr>
          <w:sz w:val="28"/>
          <w:szCs w:val="28"/>
        </w:rPr>
        <w:t>Los registros serán redactados siguiendo N.J.A.C. 10:41-4.3.</w:t>
      </w:r>
    </w:p>
    <w:p w14:paraId="3DE05F5F" w14:textId="03DA42FF" w:rsidR="00FD192B" w:rsidRPr="0066597B" w:rsidRDefault="00FD192B" w:rsidP="00D44E05">
      <w:pPr>
        <w:pStyle w:val="BodyTextIndent3"/>
        <w:numPr>
          <w:ilvl w:val="1"/>
          <w:numId w:val="1"/>
        </w:numPr>
        <w:tabs>
          <w:tab w:val="left" w:pos="1440"/>
          <w:tab w:val="left" w:pos="1530"/>
        </w:tabs>
        <w:spacing w:before="240" w:after="120"/>
        <w:rPr>
          <w:sz w:val="28"/>
          <w:szCs w:val="28"/>
        </w:rPr>
      </w:pPr>
      <w:r w:rsidRPr="0066597B">
        <w:rPr>
          <w:sz w:val="28"/>
          <w:szCs w:val="28"/>
        </w:rPr>
        <w:t>Al proporcionar registros, la información de identificación sobre personas que no sean la persona atendida será redactada, incluyendo, pero no limitado a, nombres, iniciales y descripciones específicas. El número de identificación DDD MIS se puede utilizar para identificar a otras personas.</w:t>
      </w:r>
    </w:p>
    <w:p w14:paraId="1457F0D2" w14:textId="38188B1E" w:rsidR="000C37B8" w:rsidRPr="0066597B" w:rsidRDefault="00FD192B" w:rsidP="00D44E05">
      <w:pPr>
        <w:pStyle w:val="BodyTextIndent3"/>
        <w:numPr>
          <w:ilvl w:val="1"/>
          <w:numId w:val="1"/>
        </w:numPr>
        <w:tabs>
          <w:tab w:val="left" w:pos="1440"/>
          <w:tab w:val="left" w:pos="1530"/>
        </w:tabs>
        <w:spacing w:before="240" w:after="120"/>
        <w:rPr>
          <w:sz w:val="28"/>
          <w:szCs w:val="28"/>
        </w:rPr>
      </w:pPr>
      <w:r w:rsidRPr="0066597B">
        <w:rPr>
          <w:sz w:val="28"/>
          <w:szCs w:val="28"/>
        </w:rPr>
        <w:t>La dirección de residencia comunitaria o lugar de empleo se eliminará de todos los registros antes de que se divulguen los registros.</w:t>
      </w:r>
    </w:p>
    <w:p w14:paraId="0CBE61EA" w14:textId="77777777" w:rsidR="002471F2" w:rsidRPr="0066597B" w:rsidRDefault="005F2AFE" w:rsidP="00D44E05">
      <w:pPr>
        <w:pStyle w:val="BodyTextIndent3"/>
        <w:numPr>
          <w:ilvl w:val="0"/>
          <w:numId w:val="1"/>
        </w:numPr>
        <w:spacing w:after="120"/>
        <w:rPr>
          <w:sz w:val="28"/>
          <w:szCs w:val="28"/>
        </w:rPr>
      </w:pPr>
      <w:r w:rsidRPr="0066597B">
        <w:rPr>
          <w:sz w:val="28"/>
          <w:szCs w:val="28"/>
        </w:rPr>
        <w:t>El presidente / CEO o su designado puede buscar asesoría legal si la divulgación de información involucra lo siguiente:</w:t>
      </w:r>
    </w:p>
    <w:p w14:paraId="7EBEF544" w14:textId="77777777" w:rsidR="002471F2" w:rsidRPr="0066597B" w:rsidRDefault="002471F2" w:rsidP="00D44E05">
      <w:pPr>
        <w:pStyle w:val="BodyTextIndent3"/>
        <w:numPr>
          <w:ilvl w:val="1"/>
          <w:numId w:val="1"/>
        </w:numPr>
        <w:spacing w:after="120"/>
        <w:rPr>
          <w:sz w:val="28"/>
          <w:szCs w:val="28"/>
        </w:rPr>
      </w:pPr>
      <w:r w:rsidRPr="0066597B">
        <w:rPr>
          <w:sz w:val="28"/>
          <w:szCs w:val="28"/>
        </w:rPr>
        <w:t xml:space="preserve">Solicitud de registros para ser utilizados en una demanda contra la organización o enjuiciamiento no penal de una persona notificada.   </w:t>
      </w:r>
    </w:p>
    <w:p w14:paraId="7ED438CC" w14:textId="77777777" w:rsidR="002471F2" w:rsidRPr="0066597B" w:rsidRDefault="00A91548" w:rsidP="00D44E05">
      <w:pPr>
        <w:pStyle w:val="BodyTextIndent3"/>
        <w:numPr>
          <w:ilvl w:val="1"/>
          <w:numId w:val="1"/>
        </w:numPr>
        <w:spacing w:after="120"/>
        <w:rPr>
          <w:sz w:val="28"/>
          <w:szCs w:val="28"/>
        </w:rPr>
      </w:pPr>
      <w:r w:rsidRPr="0066597B">
        <w:rPr>
          <w:sz w:val="28"/>
          <w:szCs w:val="28"/>
        </w:rPr>
        <w:t>Citaciones no penales para registros no acompañados de un consentimiento por escrito firmado por la persona notificada.</w:t>
      </w:r>
    </w:p>
    <w:p w14:paraId="2E93D722" w14:textId="77777777" w:rsidR="002471F2" w:rsidRPr="0066597B" w:rsidRDefault="005F2AFE" w:rsidP="00D44E05">
      <w:pPr>
        <w:pStyle w:val="BodyTextIndent3"/>
        <w:numPr>
          <w:ilvl w:val="1"/>
          <w:numId w:val="1"/>
        </w:numPr>
        <w:spacing w:after="120"/>
        <w:rPr>
          <w:sz w:val="28"/>
          <w:szCs w:val="28"/>
        </w:rPr>
      </w:pPr>
      <w:r w:rsidRPr="0066597B">
        <w:rPr>
          <w:sz w:val="28"/>
          <w:szCs w:val="28"/>
        </w:rPr>
        <w:t xml:space="preserve">Solicitudes de información que indiquen posibles responsabilidades.  </w:t>
      </w:r>
    </w:p>
    <w:p w14:paraId="78B0F1EA" w14:textId="66FDB6B7" w:rsidR="002471F2" w:rsidRPr="0066597B" w:rsidRDefault="002471F2" w:rsidP="00D44E05">
      <w:pPr>
        <w:pStyle w:val="BodyTextIndent3"/>
        <w:numPr>
          <w:ilvl w:val="0"/>
          <w:numId w:val="1"/>
        </w:numPr>
        <w:spacing w:after="120"/>
        <w:rPr>
          <w:strike/>
          <w:sz w:val="28"/>
          <w:szCs w:val="28"/>
        </w:rPr>
      </w:pPr>
      <w:r w:rsidRPr="0066597B">
        <w:rPr>
          <w:sz w:val="28"/>
          <w:szCs w:val="28"/>
        </w:rPr>
        <w:t xml:space="preserve">La información puede ser divulgada sin consentimiento a las personas a continuación y bajo las siguientes condiciones. La liberación se documentará en el registro del caso del consumidor para:  </w:t>
      </w:r>
    </w:p>
    <w:p w14:paraId="5005854B" w14:textId="644C4615" w:rsidR="002471F2" w:rsidRPr="0066597B" w:rsidRDefault="003A7208" w:rsidP="00D44E05">
      <w:pPr>
        <w:pStyle w:val="BodyTextIndent3"/>
        <w:numPr>
          <w:ilvl w:val="1"/>
          <w:numId w:val="1"/>
        </w:numPr>
        <w:spacing w:after="120"/>
        <w:rPr>
          <w:sz w:val="28"/>
          <w:szCs w:val="28"/>
        </w:rPr>
      </w:pPr>
      <w:r w:rsidRPr="0066597B">
        <w:rPr>
          <w:sz w:val="28"/>
          <w:szCs w:val="28"/>
        </w:rPr>
        <w:t>Autoridades de salud pública;</w:t>
      </w:r>
    </w:p>
    <w:p w14:paraId="7ED77B7D" w14:textId="1C89C18A" w:rsidR="00F172B2" w:rsidRPr="0066597B" w:rsidRDefault="003A7208" w:rsidP="00D44E05">
      <w:pPr>
        <w:pStyle w:val="BodyTextIndent3"/>
        <w:numPr>
          <w:ilvl w:val="1"/>
          <w:numId w:val="1"/>
        </w:numPr>
        <w:spacing w:after="120"/>
        <w:rPr>
          <w:sz w:val="28"/>
          <w:szCs w:val="28"/>
        </w:rPr>
      </w:pPr>
      <w:r w:rsidRPr="0066597B">
        <w:rPr>
          <w:sz w:val="28"/>
          <w:szCs w:val="28"/>
        </w:rPr>
        <w:t xml:space="preserve">Un cónyuge o pareja sexual cuando se cree que la información es necesaria para proteger la salud del cónyuge o pareja sexual;  </w:t>
      </w:r>
    </w:p>
    <w:p w14:paraId="2BA9642C" w14:textId="08131889" w:rsidR="002471F2" w:rsidRPr="0066597B" w:rsidRDefault="003A7208" w:rsidP="00D44E05">
      <w:pPr>
        <w:pStyle w:val="BodyTextIndent3"/>
        <w:numPr>
          <w:ilvl w:val="1"/>
          <w:numId w:val="1"/>
        </w:numPr>
        <w:spacing w:after="120"/>
        <w:rPr>
          <w:sz w:val="28"/>
          <w:szCs w:val="28"/>
        </w:rPr>
      </w:pPr>
      <w:r w:rsidRPr="0066597B">
        <w:rPr>
          <w:sz w:val="28"/>
          <w:szCs w:val="28"/>
        </w:rPr>
        <w:t xml:space="preserve">Recuperar o cobrar los costos de la atención médica de compañías de seguros de atención médica de terceros según lo requiera el plan de salud.  </w:t>
      </w:r>
    </w:p>
    <w:p w14:paraId="1C74A5E8" w14:textId="6F0F8550" w:rsidR="002471F2" w:rsidRPr="0066597B" w:rsidRDefault="00015C5E" w:rsidP="00D44E05">
      <w:pPr>
        <w:pStyle w:val="BodyTextIndent3"/>
        <w:numPr>
          <w:ilvl w:val="1"/>
          <w:numId w:val="1"/>
        </w:numPr>
        <w:spacing w:after="120"/>
        <w:rPr>
          <w:sz w:val="28"/>
          <w:szCs w:val="28"/>
        </w:rPr>
      </w:pPr>
      <w:r w:rsidRPr="0066597B">
        <w:rPr>
          <w:sz w:val="28"/>
          <w:szCs w:val="28"/>
        </w:rPr>
        <w:t xml:space="preserve">Disability Rights New Jersey, Servicios de Protección para Adultos en el caso de un adulto que vive en su propio hogar para investigar abuso, </w:t>
      </w:r>
      <w:r w:rsidRPr="0066597B">
        <w:rPr>
          <w:sz w:val="28"/>
          <w:szCs w:val="28"/>
        </w:rPr>
        <w:lastRenderedPageBreak/>
        <w:t xml:space="preserve">negligencia o explotación, el Defensor del Pueblo para los Ancianos </w:t>
      </w:r>
      <w:proofErr w:type="spellStart"/>
      <w:r w:rsidRPr="0066597B">
        <w:rPr>
          <w:sz w:val="28"/>
          <w:szCs w:val="28"/>
        </w:rPr>
        <w:t>Institucionalizados</w:t>
      </w:r>
      <w:proofErr w:type="spellEnd"/>
      <w:r w:rsidRPr="0066597B">
        <w:rPr>
          <w:sz w:val="28"/>
          <w:szCs w:val="28"/>
        </w:rPr>
        <w:t xml:space="preserve"> para personas </w:t>
      </w:r>
      <w:proofErr w:type="spellStart"/>
      <w:r w:rsidRPr="0066597B">
        <w:rPr>
          <w:sz w:val="28"/>
          <w:szCs w:val="28"/>
        </w:rPr>
        <w:t>mayores</w:t>
      </w:r>
      <w:proofErr w:type="spellEnd"/>
      <w:r w:rsidRPr="0066597B">
        <w:rPr>
          <w:sz w:val="28"/>
          <w:szCs w:val="28"/>
        </w:rPr>
        <w:t xml:space="preserve"> de </w:t>
      </w:r>
      <w:proofErr w:type="spellStart"/>
      <w:r w:rsidR="00596DEC" w:rsidRPr="0066597B">
        <w:rPr>
          <w:sz w:val="28"/>
          <w:szCs w:val="28"/>
        </w:rPr>
        <w:t>sesenta</w:t>
      </w:r>
      <w:proofErr w:type="spellEnd"/>
      <w:r w:rsidR="00596DEC" w:rsidRPr="0066597B">
        <w:rPr>
          <w:sz w:val="28"/>
          <w:szCs w:val="28"/>
        </w:rPr>
        <w:t xml:space="preserve"> (</w:t>
      </w:r>
      <w:r w:rsidRPr="0066597B">
        <w:rPr>
          <w:sz w:val="28"/>
          <w:szCs w:val="28"/>
        </w:rPr>
        <w:t>60</w:t>
      </w:r>
      <w:r w:rsidR="00596DEC" w:rsidRPr="0066597B">
        <w:rPr>
          <w:sz w:val="28"/>
          <w:szCs w:val="28"/>
        </w:rPr>
        <w:t>)</w:t>
      </w:r>
      <w:r w:rsidRPr="0066597B">
        <w:rPr>
          <w:sz w:val="28"/>
          <w:szCs w:val="28"/>
        </w:rPr>
        <w:t xml:space="preserve"> </w:t>
      </w:r>
      <w:proofErr w:type="spellStart"/>
      <w:r w:rsidRPr="0066597B">
        <w:rPr>
          <w:sz w:val="28"/>
          <w:szCs w:val="28"/>
        </w:rPr>
        <w:t>años</w:t>
      </w:r>
      <w:proofErr w:type="spellEnd"/>
      <w:r w:rsidRPr="0066597B">
        <w:rPr>
          <w:sz w:val="28"/>
          <w:szCs w:val="28"/>
        </w:rPr>
        <w:t xml:space="preserve"> de </w:t>
      </w:r>
      <w:proofErr w:type="spellStart"/>
      <w:r w:rsidRPr="0066597B">
        <w:rPr>
          <w:sz w:val="28"/>
          <w:szCs w:val="28"/>
        </w:rPr>
        <w:t>edad</w:t>
      </w:r>
      <w:proofErr w:type="spellEnd"/>
      <w:r w:rsidRPr="0066597B">
        <w:rPr>
          <w:sz w:val="28"/>
          <w:szCs w:val="28"/>
        </w:rPr>
        <w:t xml:space="preserve">, y la División de Protección y Permanencia del Niño; </w:t>
      </w:r>
    </w:p>
    <w:p w14:paraId="420D786B" w14:textId="5955D0B6" w:rsidR="002471F2" w:rsidRPr="0066597B" w:rsidRDefault="002471F2" w:rsidP="00D44E05">
      <w:pPr>
        <w:pStyle w:val="BodyTextIndent3"/>
        <w:numPr>
          <w:ilvl w:val="1"/>
          <w:numId w:val="1"/>
        </w:numPr>
        <w:spacing w:after="120"/>
        <w:rPr>
          <w:sz w:val="28"/>
          <w:szCs w:val="28"/>
        </w:rPr>
      </w:pPr>
      <w:r w:rsidRPr="0066597B">
        <w:rPr>
          <w:sz w:val="28"/>
          <w:szCs w:val="28"/>
        </w:rPr>
        <w:t>Médico forense, junto con una investigación de una muerte sospechosa;</w:t>
      </w:r>
    </w:p>
    <w:p w14:paraId="19D1711F" w14:textId="691CA3B0" w:rsidR="006254C2" w:rsidRPr="0066597B" w:rsidRDefault="003A7208" w:rsidP="00D44E05">
      <w:pPr>
        <w:pStyle w:val="BodyTextIndent3"/>
        <w:numPr>
          <w:ilvl w:val="1"/>
          <w:numId w:val="1"/>
        </w:numPr>
        <w:spacing w:after="120"/>
        <w:rPr>
          <w:sz w:val="28"/>
          <w:szCs w:val="28"/>
        </w:rPr>
      </w:pPr>
      <w:r w:rsidRPr="0066597B">
        <w:rPr>
          <w:sz w:val="28"/>
          <w:szCs w:val="28"/>
        </w:rPr>
        <w:t>Organizaciones de revisión profesional, incluyendo CARF, Oficina de Licencias, auditores y monitores de contratos.</w:t>
      </w:r>
    </w:p>
    <w:p w14:paraId="12ED7A59" w14:textId="3FB3AD34" w:rsidR="002471F2" w:rsidRPr="0066597B" w:rsidRDefault="00A96DB5" w:rsidP="00D44E05">
      <w:pPr>
        <w:pStyle w:val="BodyTextIndent3"/>
        <w:numPr>
          <w:ilvl w:val="1"/>
          <w:numId w:val="1"/>
        </w:numPr>
        <w:spacing w:before="240" w:after="120"/>
        <w:rPr>
          <w:sz w:val="28"/>
          <w:szCs w:val="28"/>
        </w:rPr>
      </w:pPr>
      <w:r w:rsidRPr="0066597B">
        <w:rPr>
          <w:sz w:val="28"/>
          <w:szCs w:val="28"/>
        </w:rPr>
        <w:t xml:space="preserve">Los registros del consumidor sin un formulario de consentimiento firmado solo pueden divulgarse en respuesta a una citación emitida por un abogado. Si la persona atendida recibe servicios de DDD, comuníquese inmediatamente con la Oficina de Práctica Legal y Administrativa de la División por fax al (609) 631-2214.  </w:t>
      </w:r>
    </w:p>
    <w:p w14:paraId="3B7B51C5" w14:textId="77777777" w:rsidR="002471F2" w:rsidRPr="0066597B" w:rsidRDefault="002471F2" w:rsidP="00D44E05">
      <w:pPr>
        <w:pStyle w:val="BodyTextIndent3"/>
        <w:numPr>
          <w:ilvl w:val="0"/>
          <w:numId w:val="1"/>
        </w:numPr>
        <w:spacing w:after="120"/>
        <w:rPr>
          <w:sz w:val="28"/>
          <w:szCs w:val="28"/>
        </w:rPr>
      </w:pPr>
      <w:r w:rsidRPr="0066597B">
        <w:rPr>
          <w:sz w:val="28"/>
          <w:szCs w:val="28"/>
        </w:rPr>
        <w:t>El siguiente tipo de comunicaciones no constituye divulgación de información/registros:</w:t>
      </w:r>
    </w:p>
    <w:p w14:paraId="16DB4869" w14:textId="6B086B72" w:rsidR="00F63C16" w:rsidRPr="0066597B" w:rsidRDefault="00F63C16" w:rsidP="00D44E05">
      <w:pPr>
        <w:pStyle w:val="BodyTextIndent3"/>
        <w:numPr>
          <w:ilvl w:val="1"/>
          <w:numId w:val="1"/>
        </w:numPr>
        <w:spacing w:after="120"/>
        <w:rPr>
          <w:sz w:val="28"/>
          <w:szCs w:val="28"/>
        </w:rPr>
      </w:pPr>
      <w:r w:rsidRPr="0066597B">
        <w:rPr>
          <w:sz w:val="28"/>
          <w:szCs w:val="28"/>
        </w:rPr>
        <w:t>Al personal médico que necesita información para tratar una afección que potencialmente puede representar una amenaza inmediata para la salud del consumidor.</w:t>
      </w:r>
    </w:p>
    <w:p w14:paraId="04FCB734" w14:textId="4E3389B3" w:rsidR="002471F2" w:rsidRPr="0066597B" w:rsidRDefault="00CD0E74" w:rsidP="00D44E05">
      <w:pPr>
        <w:pStyle w:val="BodyTextIndent3"/>
        <w:numPr>
          <w:ilvl w:val="1"/>
          <w:numId w:val="1"/>
        </w:numPr>
        <w:spacing w:before="240" w:after="120"/>
        <w:rPr>
          <w:sz w:val="28"/>
          <w:szCs w:val="28"/>
        </w:rPr>
      </w:pPr>
      <w:r w:rsidRPr="0066597B">
        <w:rPr>
          <w:sz w:val="28"/>
          <w:szCs w:val="28"/>
        </w:rPr>
        <w:t xml:space="preserve">Si falta el consumidor, o el Presidente / CEO o la persona designada está ayudando a la policía a localizar a un sospechoso, fugitivo o testigo material, la información relacionada con el individuo puede ser divulgada a las agencias oficiales. Consulte la Política de Personas Desaparecidas de CODI para obtener más información. </w:t>
      </w:r>
    </w:p>
    <w:p w14:paraId="04FAC37A" w14:textId="77777777" w:rsidR="002471F2" w:rsidRPr="0066597B" w:rsidRDefault="00C80A4E" w:rsidP="00D44E05">
      <w:pPr>
        <w:pStyle w:val="BodyTextIndent3"/>
        <w:numPr>
          <w:ilvl w:val="0"/>
          <w:numId w:val="1"/>
        </w:numPr>
        <w:spacing w:after="120"/>
        <w:rPr>
          <w:sz w:val="28"/>
          <w:szCs w:val="28"/>
        </w:rPr>
      </w:pPr>
      <w:r w:rsidRPr="0066597B">
        <w:rPr>
          <w:sz w:val="28"/>
          <w:szCs w:val="28"/>
        </w:rPr>
        <w:t>Registros de personas fallecidas:</w:t>
      </w:r>
    </w:p>
    <w:p w14:paraId="2329D067" w14:textId="1570DFEC" w:rsidR="00C80A4E" w:rsidRPr="0066597B" w:rsidRDefault="001725B2" w:rsidP="00D44E05">
      <w:pPr>
        <w:pStyle w:val="BodyTextIndent3"/>
        <w:numPr>
          <w:ilvl w:val="1"/>
          <w:numId w:val="1"/>
        </w:numPr>
        <w:spacing w:before="240" w:after="120"/>
        <w:rPr>
          <w:sz w:val="28"/>
          <w:szCs w:val="28"/>
        </w:rPr>
      </w:pPr>
      <w:r w:rsidRPr="0066597B">
        <w:rPr>
          <w:sz w:val="28"/>
          <w:szCs w:val="28"/>
        </w:rPr>
        <w:t>La autorización de divulgación de información termina con la muerte.</w:t>
      </w:r>
    </w:p>
    <w:p w14:paraId="162CB1EC" w14:textId="77777777" w:rsidR="002471F2" w:rsidRPr="0066597B" w:rsidRDefault="002471F2" w:rsidP="00D44E05">
      <w:pPr>
        <w:pStyle w:val="BodyTextIndent3"/>
        <w:numPr>
          <w:ilvl w:val="0"/>
          <w:numId w:val="1"/>
        </w:numPr>
        <w:spacing w:after="120"/>
        <w:rPr>
          <w:sz w:val="28"/>
          <w:szCs w:val="28"/>
        </w:rPr>
      </w:pPr>
      <w:r w:rsidRPr="0066597B">
        <w:rPr>
          <w:sz w:val="28"/>
          <w:szCs w:val="28"/>
        </w:rPr>
        <w:t xml:space="preserve">CODI se adherirá a las siguientes pautas al divulgar información por correo o correo electrónico: </w:t>
      </w:r>
    </w:p>
    <w:p w14:paraId="4BB26E8B" w14:textId="036B846B" w:rsidR="002471F2" w:rsidRPr="0066597B" w:rsidRDefault="0052461E" w:rsidP="00D44E05">
      <w:pPr>
        <w:pStyle w:val="BodyTextIndent3"/>
        <w:numPr>
          <w:ilvl w:val="1"/>
          <w:numId w:val="1"/>
        </w:numPr>
        <w:spacing w:after="120"/>
        <w:rPr>
          <w:sz w:val="28"/>
          <w:szCs w:val="28"/>
        </w:rPr>
      </w:pPr>
      <w:r w:rsidRPr="0066597B">
        <w:rPr>
          <w:sz w:val="28"/>
          <w:szCs w:val="28"/>
        </w:rPr>
        <w:t>Indíquese una oficina o dirección en particular donde se entregará la correspondencia.</w:t>
      </w:r>
    </w:p>
    <w:p w14:paraId="1747B319" w14:textId="77777777" w:rsidR="00F03A46" w:rsidRPr="0066597B" w:rsidRDefault="00B103A6" w:rsidP="00D44E05">
      <w:pPr>
        <w:pStyle w:val="BodyTextIndent3"/>
        <w:numPr>
          <w:ilvl w:val="1"/>
          <w:numId w:val="1"/>
        </w:numPr>
        <w:spacing w:after="120"/>
        <w:rPr>
          <w:sz w:val="28"/>
          <w:szCs w:val="28"/>
        </w:rPr>
      </w:pPr>
      <w:r w:rsidRPr="0066597B">
        <w:rPr>
          <w:sz w:val="28"/>
          <w:szCs w:val="28"/>
        </w:rPr>
        <w:t>Incluya el nombre del miembro del personal autorizado para abrir el sobre.</w:t>
      </w:r>
    </w:p>
    <w:p w14:paraId="34AE8F70" w14:textId="77777777" w:rsidR="00F172B2" w:rsidRPr="0066597B" w:rsidRDefault="00F03A46" w:rsidP="00D44E05">
      <w:pPr>
        <w:pStyle w:val="BodyTextIndent3"/>
        <w:numPr>
          <w:ilvl w:val="1"/>
          <w:numId w:val="1"/>
        </w:numPr>
        <w:spacing w:after="120"/>
        <w:rPr>
          <w:b/>
          <w:i/>
          <w:sz w:val="28"/>
          <w:szCs w:val="28"/>
        </w:rPr>
      </w:pPr>
      <w:r w:rsidRPr="0066597B">
        <w:rPr>
          <w:sz w:val="28"/>
          <w:szCs w:val="28"/>
        </w:rPr>
        <w:t>Las copias de la correspondencia se mantendrán en el registro del consumidor junto con la autorización de liberación.</w:t>
      </w:r>
    </w:p>
    <w:p w14:paraId="27C18EDC" w14:textId="19D28D58" w:rsidR="00F03A46" w:rsidRPr="0066597B" w:rsidRDefault="007F28E8" w:rsidP="00D44E05">
      <w:pPr>
        <w:pStyle w:val="BodyTextIndent3"/>
        <w:numPr>
          <w:ilvl w:val="1"/>
          <w:numId w:val="1"/>
        </w:numPr>
        <w:spacing w:after="120"/>
        <w:rPr>
          <w:b/>
          <w:i/>
          <w:sz w:val="28"/>
          <w:szCs w:val="28"/>
        </w:rPr>
      </w:pPr>
      <w:r w:rsidRPr="0066597B">
        <w:rPr>
          <w:sz w:val="28"/>
          <w:szCs w:val="28"/>
        </w:rPr>
        <w:t xml:space="preserve">A menos que esté encriptado, está prohibido enviar por correo electrónico información médica protegida [PHI] e información de identificación personal [PII]. Las computadoras del equipo de liderazgo pueden enviar </w:t>
      </w:r>
      <w:r w:rsidRPr="0066597B">
        <w:rPr>
          <w:sz w:val="28"/>
          <w:szCs w:val="28"/>
        </w:rPr>
        <w:lastRenderedPageBreak/>
        <w:t xml:space="preserve">correos electrónicos de forma segura y cifrada con el cifrado de correo electrónico genuino de extremo a extremo Cipher Post Pro compatible con HIPAA. El personal se pondrá en contacto con un miembro del Equipo de Liderazgo para enviar un correo electrónico cifrado cuando exista una necesidad de buena fe de transmitir información de identificación personal. </w:t>
      </w:r>
    </w:p>
    <w:p w14:paraId="5475CE9A" w14:textId="44E008D2" w:rsidR="00B64EBB" w:rsidRPr="0066597B" w:rsidRDefault="00F172B2" w:rsidP="00D44E05">
      <w:pPr>
        <w:pStyle w:val="BodyTextIndent3"/>
        <w:numPr>
          <w:ilvl w:val="0"/>
          <w:numId w:val="1"/>
        </w:numPr>
        <w:spacing w:after="120"/>
        <w:rPr>
          <w:strike/>
          <w:sz w:val="28"/>
          <w:szCs w:val="28"/>
        </w:rPr>
      </w:pPr>
      <w:r w:rsidRPr="0066597B">
        <w:rPr>
          <w:sz w:val="28"/>
          <w:szCs w:val="28"/>
        </w:rPr>
        <w:t xml:space="preserve">El personal de CODI hará todo lo posible para minimizar la divulgación de información por fax. Cuando el fax sea la única opción aceptable, la </w:t>
      </w:r>
      <w:proofErr w:type="spellStart"/>
      <w:r w:rsidRPr="0066597B">
        <w:rPr>
          <w:sz w:val="28"/>
          <w:szCs w:val="28"/>
        </w:rPr>
        <w:t>información</w:t>
      </w:r>
      <w:proofErr w:type="spellEnd"/>
      <w:r w:rsidRPr="0066597B">
        <w:rPr>
          <w:sz w:val="28"/>
          <w:szCs w:val="28"/>
        </w:rPr>
        <w:t xml:space="preserve"> se </w:t>
      </w:r>
      <w:proofErr w:type="spellStart"/>
      <w:r w:rsidRPr="0066597B">
        <w:rPr>
          <w:sz w:val="28"/>
          <w:szCs w:val="28"/>
        </w:rPr>
        <w:t>transmitirá</w:t>
      </w:r>
      <w:proofErr w:type="spellEnd"/>
      <w:r w:rsidRPr="0066597B">
        <w:rPr>
          <w:sz w:val="28"/>
          <w:szCs w:val="28"/>
        </w:rPr>
        <w:t xml:space="preserve"> </w:t>
      </w:r>
      <w:proofErr w:type="spellStart"/>
      <w:r w:rsidRPr="0066597B">
        <w:rPr>
          <w:sz w:val="28"/>
          <w:szCs w:val="28"/>
        </w:rPr>
        <w:t>por</w:t>
      </w:r>
      <w:proofErr w:type="spellEnd"/>
      <w:r w:rsidRPr="0066597B">
        <w:rPr>
          <w:sz w:val="28"/>
          <w:szCs w:val="28"/>
        </w:rPr>
        <w:t xml:space="preserve"> fax </w:t>
      </w:r>
      <w:proofErr w:type="spellStart"/>
      <w:r w:rsidRPr="0066597B">
        <w:rPr>
          <w:sz w:val="28"/>
          <w:szCs w:val="28"/>
        </w:rPr>
        <w:t>por</w:t>
      </w:r>
      <w:proofErr w:type="spellEnd"/>
      <w:r w:rsidRPr="0066597B">
        <w:rPr>
          <w:sz w:val="28"/>
          <w:szCs w:val="28"/>
        </w:rPr>
        <w:t xml:space="preserve"> </w:t>
      </w:r>
      <w:r w:rsidR="00596DEC" w:rsidRPr="0066597B">
        <w:rPr>
          <w:sz w:val="28"/>
          <w:szCs w:val="28"/>
        </w:rPr>
        <w:t>VP</w:t>
      </w:r>
      <w:r w:rsidRPr="0066597B">
        <w:rPr>
          <w:sz w:val="28"/>
          <w:szCs w:val="28"/>
        </w:rPr>
        <w:t xml:space="preserve">QI. </w:t>
      </w:r>
    </w:p>
    <w:p w14:paraId="4683BD31" w14:textId="77777777" w:rsidR="002471F2" w:rsidRPr="0066597B" w:rsidRDefault="00F172B2" w:rsidP="00D44E05">
      <w:pPr>
        <w:pStyle w:val="BodyTextIndent3"/>
        <w:numPr>
          <w:ilvl w:val="1"/>
          <w:numId w:val="1"/>
        </w:numPr>
        <w:spacing w:after="120"/>
        <w:rPr>
          <w:sz w:val="28"/>
          <w:szCs w:val="28"/>
        </w:rPr>
      </w:pPr>
      <w:r w:rsidRPr="0066597B">
        <w:rPr>
          <w:sz w:val="28"/>
          <w:szCs w:val="28"/>
        </w:rPr>
        <w:t>Las portadas de fax para la divulgación de información contendrán lo siguiente:</w:t>
      </w:r>
    </w:p>
    <w:p w14:paraId="46FDD312" w14:textId="77777777" w:rsidR="002471F2" w:rsidRPr="0066597B" w:rsidRDefault="002471F2" w:rsidP="00D44E05">
      <w:pPr>
        <w:pStyle w:val="BodyTextIndent3"/>
        <w:numPr>
          <w:ilvl w:val="2"/>
          <w:numId w:val="1"/>
        </w:numPr>
        <w:spacing w:after="120"/>
        <w:rPr>
          <w:sz w:val="28"/>
          <w:szCs w:val="28"/>
        </w:rPr>
      </w:pPr>
      <w:r w:rsidRPr="0066597B">
        <w:rPr>
          <w:sz w:val="28"/>
          <w:szCs w:val="28"/>
        </w:rPr>
        <w:t>Nombre y programa de la persona a la que va dirigido el fax.</w:t>
      </w:r>
    </w:p>
    <w:p w14:paraId="12974451" w14:textId="77777777" w:rsidR="002471F2" w:rsidRPr="0066597B" w:rsidRDefault="002471F2" w:rsidP="00D44E05">
      <w:pPr>
        <w:pStyle w:val="BodyTextIndent3"/>
        <w:numPr>
          <w:ilvl w:val="2"/>
          <w:numId w:val="1"/>
        </w:numPr>
        <w:spacing w:after="120"/>
        <w:rPr>
          <w:sz w:val="28"/>
          <w:szCs w:val="28"/>
        </w:rPr>
      </w:pPr>
      <w:r w:rsidRPr="0066597B">
        <w:rPr>
          <w:sz w:val="28"/>
          <w:szCs w:val="28"/>
        </w:rPr>
        <w:t>Nombre, programa y número de teléfono de la persona que envía el fax.</w:t>
      </w:r>
    </w:p>
    <w:p w14:paraId="502484AF" w14:textId="77777777" w:rsidR="00612DA4" w:rsidRPr="0066597B" w:rsidRDefault="002471F2" w:rsidP="00D44E05">
      <w:pPr>
        <w:pStyle w:val="BodyTextIndent3"/>
        <w:numPr>
          <w:ilvl w:val="2"/>
          <w:numId w:val="1"/>
        </w:numPr>
        <w:spacing w:after="120"/>
        <w:rPr>
          <w:sz w:val="28"/>
          <w:szCs w:val="28"/>
        </w:rPr>
      </w:pPr>
      <w:r w:rsidRPr="0066597B">
        <w:rPr>
          <w:sz w:val="28"/>
          <w:szCs w:val="28"/>
        </w:rPr>
        <w:t>La declaración "Información confidencial" en negrita grande.</w:t>
      </w:r>
    </w:p>
    <w:p w14:paraId="2402FC53" w14:textId="4C4AE6DA" w:rsidR="002471F2" w:rsidRPr="0066597B" w:rsidRDefault="002471F2" w:rsidP="00D44E05">
      <w:pPr>
        <w:pStyle w:val="BodyTextIndent3"/>
        <w:numPr>
          <w:ilvl w:val="2"/>
          <w:numId w:val="1"/>
        </w:numPr>
        <w:spacing w:after="120"/>
        <w:rPr>
          <w:sz w:val="28"/>
          <w:szCs w:val="28"/>
        </w:rPr>
      </w:pPr>
      <w:r w:rsidRPr="0066597B">
        <w:rPr>
          <w:sz w:val="28"/>
          <w:szCs w:val="28"/>
        </w:rPr>
        <w:t xml:space="preserve">Una declaración que identifique el material adjunto como información confidencial que diga lo siguiente: </w:t>
      </w:r>
      <w:r w:rsidR="00612DA4" w:rsidRPr="0066597B">
        <w:rPr>
          <w:iCs/>
          <w:sz w:val="28"/>
          <w:szCs w:val="28"/>
        </w:rPr>
        <w:t>"</w:t>
      </w:r>
      <w:r w:rsidR="00612DA4" w:rsidRPr="0066597B">
        <w:rPr>
          <w:sz w:val="28"/>
          <w:szCs w:val="28"/>
        </w:rPr>
        <w:t>La información contenida en esta transmisión de facsímil de Career Opportunity Development, Inc., podría ser confidencial y está destinada al uso exclusivo de la persona nombrada en la portada de transmisión. Si usted no es el destinatario previsto, se le notifica que cualquier divulgación, distribución o uso de la información contenida está estrictamente prohibido. Si recibió esta información por error, comuníquese inmediatamente con Taran Winchester en Career Opportunity Development, Inc. al (609) 965-6871 para organizar la devolución de esta información.</w:t>
      </w:r>
    </w:p>
    <w:p w14:paraId="2196D252" w14:textId="070428DA" w:rsidR="002471F2" w:rsidRPr="0066597B" w:rsidRDefault="002471F2" w:rsidP="00D44E05">
      <w:pPr>
        <w:pStyle w:val="BodyTextIndent3"/>
        <w:numPr>
          <w:ilvl w:val="1"/>
          <w:numId w:val="1"/>
        </w:numPr>
        <w:spacing w:after="120"/>
        <w:rPr>
          <w:sz w:val="28"/>
          <w:szCs w:val="28"/>
        </w:rPr>
      </w:pPr>
      <w:r w:rsidRPr="0066597B">
        <w:rPr>
          <w:sz w:val="28"/>
          <w:szCs w:val="28"/>
        </w:rPr>
        <w:t xml:space="preserve">En situaciones en las que la información no se envía regularmente </w:t>
      </w:r>
      <w:proofErr w:type="spellStart"/>
      <w:r w:rsidRPr="0066597B">
        <w:rPr>
          <w:sz w:val="28"/>
          <w:szCs w:val="28"/>
        </w:rPr>
        <w:t>por</w:t>
      </w:r>
      <w:proofErr w:type="spellEnd"/>
      <w:r w:rsidRPr="0066597B">
        <w:rPr>
          <w:sz w:val="28"/>
          <w:szCs w:val="28"/>
        </w:rPr>
        <w:t xml:space="preserve"> fax a </w:t>
      </w:r>
      <w:proofErr w:type="spellStart"/>
      <w:r w:rsidRPr="0066597B">
        <w:rPr>
          <w:sz w:val="28"/>
          <w:szCs w:val="28"/>
        </w:rPr>
        <w:t>una</w:t>
      </w:r>
      <w:proofErr w:type="spellEnd"/>
      <w:r w:rsidRPr="0066597B">
        <w:rPr>
          <w:sz w:val="28"/>
          <w:szCs w:val="28"/>
        </w:rPr>
        <w:t xml:space="preserve"> </w:t>
      </w:r>
      <w:proofErr w:type="spellStart"/>
      <w:r w:rsidRPr="0066597B">
        <w:rPr>
          <w:sz w:val="28"/>
          <w:szCs w:val="28"/>
        </w:rPr>
        <w:t>organización</w:t>
      </w:r>
      <w:proofErr w:type="spellEnd"/>
      <w:r w:rsidRPr="0066597B">
        <w:rPr>
          <w:sz w:val="28"/>
          <w:szCs w:val="28"/>
        </w:rPr>
        <w:t xml:space="preserve"> </w:t>
      </w:r>
      <w:r w:rsidR="00EE4763" w:rsidRPr="0066597B">
        <w:rPr>
          <w:sz w:val="28"/>
          <w:szCs w:val="28"/>
        </w:rPr>
        <w:t>o</w:t>
      </w:r>
      <w:r w:rsidRPr="0066597B">
        <w:rPr>
          <w:sz w:val="28"/>
          <w:szCs w:val="28"/>
        </w:rPr>
        <w:t xml:space="preserve"> </w:t>
      </w:r>
      <w:proofErr w:type="spellStart"/>
      <w:r w:rsidRPr="0066597B">
        <w:rPr>
          <w:sz w:val="28"/>
          <w:szCs w:val="28"/>
        </w:rPr>
        <w:t>individuo</w:t>
      </w:r>
      <w:proofErr w:type="spellEnd"/>
      <w:r w:rsidRPr="0066597B">
        <w:rPr>
          <w:sz w:val="28"/>
          <w:szCs w:val="28"/>
        </w:rPr>
        <w:t xml:space="preserve"> </w:t>
      </w:r>
      <w:proofErr w:type="spellStart"/>
      <w:r w:rsidRPr="0066597B">
        <w:rPr>
          <w:sz w:val="28"/>
          <w:szCs w:val="28"/>
        </w:rPr>
        <w:t>conocidos</w:t>
      </w:r>
      <w:proofErr w:type="spellEnd"/>
      <w:r w:rsidRPr="0066597B">
        <w:rPr>
          <w:sz w:val="28"/>
          <w:szCs w:val="28"/>
        </w:rPr>
        <w:t xml:space="preserve">, </w:t>
      </w:r>
      <w:proofErr w:type="spellStart"/>
      <w:r w:rsidRPr="0066597B">
        <w:rPr>
          <w:sz w:val="28"/>
          <w:szCs w:val="28"/>
        </w:rPr>
        <w:t>el</w:t>
      </w:r>
      <w:proofErr w:type="spellEnd"/>
      <w:r w:rsidRPr="0066597B">
        <w:rPr>
          <w:sz w:val="28"/>
          <w:szCs w:val="28"/>
        </w:rPr>
        <w:t xml:space="preserve"> </w:t>
      </w:r>
      <w:proofErr w:type="spellStart"/>
      <w:r w:rsidRPr="0066597B">
        <w:rPr>
          <w:sz w:val="28"/>
          <w:szCs w:val="28"/>
        </w:rPr>
        <w:t>remitente</w:t>
      </w:r>
      <w:proofErr w:type="spellEnd"/>
      <w:r w:rsidRPr="0066597B">
        <w:rPr>
          <w:sz w:val="28"/>
          <w:szCs w:val="28"/>
        </w:rPr>
        <w:t xml:space="preserve"> </w:t>
      </w:r>
      <w:proofErr w:type="spellStart"/>
      <w:r w:rsidRPr="0066597B">
        <w:rPr>
          <w:sz w:val="28"/>
          <w:szCs w:val="28"/>
        </w:rPr>
        <w:t>realizará</w:t>
      </w:r>
      <w:proofErr w:type="spellEnd"/>
      <w:r w:rsidRPr="0066597B">
        <w:rPr>
          <w:sz w:val="28"/>
          <w:szCs w:val="28"/>
        </w:rPr>
        <w:t xml:space="preserve"> una llamada telefónica a la persona que recibe el fax para verificar el número de fax. También se realizará una llamada de seguimiento para verificar la recepción del fax.</w:t>
      </w:r>
    </w:p>
    <w:p w14:paraId="320F6949" w14:textId="00238CC8" w:rsidR="002471F2" w:rsidRPr="0066597B" w:rsidRDefault="002471F2" w:rsidP="00D44E05">
      <w:pPr>
        <w:pStyle w:val="BodyTextIndent3"/>
        <w:numPr>
          <w:ilvl w:val="1"/>
          <w:numId w:val="1"/>
        </w:numPr>
        <w:spacing w:after="120"/>
        <w:rPr>
          <w:sz w:val="28"/>
          <w:szCs w:val="28"/>
        </w:rPr>
      </w:pPr>
      <w:r w:rsidRPr="0066597B">
        <w:rPr>
          <w:sz w:val="28"/>
          <w:szCs w:val="28"/>
        </w:rPr>
        <w:t xml:space="preserve">Las listas de números de fax se mantendrán actualizadas para garantizar la exactitud. Por ejemplo, el Gerente Residencial supervisará las máquinas de fax en hogares grupales. </w:t>
      </w:r>
    </w:p>
    <w:p w14:paraId="1446D2AA" w14:textId="6B1B6743" w:rsidR="002471F2" w:rsidRPr="0066597B" w:rsidRDefault="00527AFE" w:rsidP="00D44E05">
      <w:pPr>
        <w:pStyle w:val="BodyTextIndent3"/>
        <w:numPr>
          <w:ilvl w:val="1"/>
          <w:numId w:val="1"/>
        </w:numPr>
        <w:spacing w:after="120"/>
        <w:rPr>
          <w:b/>
          <w:sz w:val="28"/>
          <w:szCs w:val="28"/>
        </w:rPr>
      </w:pPr>
      <w:r w:rsidRPr="0066597B">
        <w:rPr>
          <w:sz w:val="28"/>
          <w:szCs w:val="28"/>
        </w:rPr>
        <w:lastRenderedPageBreak/>
        <w:t xml:space="preserve">El remitente de cada fax comprobará el registro de transmisión para detectar posibles errores de transmisión y conservará a </w:t>
      </w:r>
      <w:proofErr w:type="spellStart"/>
      <w:r w:rsidRPr="0066597B">
        <w:rPr>
          <w:sz w:val="28"/>
          <w:szCs w:val="28"/>
        </w:rPr>
        <w:t>efectos</w:t>
      </w:r>
      <w:proofErr w:type="spellEnd"/>
      <w:r w:rsidRPr="0066597B">
        <w:rPr>
          <w:sz w:val="28"/>
          <w:szCs w:val="28"/>
        </w:rPr>
        <w:t xml:space="preserve"> de </w:t>
      </w:r>
      <w:proofErr w:type="spellStart"/>
      <w:r w:rsidRPr="0066597B">
        <w:rPr>
          <w:sz w:val="28"/>
          <w:szCs w:val="28"/>
        </w:rPr>
        <w:t>confirmación</w:t>
      </w:r>
      <w:proofErr w:type="spellEnd"/>
      <w:r w:rsidRPr="0066597B">
        <w:rPr>
          <w:sz w:val="28"/>
          <w:szCs w:val="28"/>
        </w:rPr>
        <w:t xml:space="preserve"> </w:t>
      </w:r>
      <w:proofErr w:type="spellStart"/>
      <w:r w:rsidRPr="0066597B">
        <w:rPr>
          <w:sz w:val="28"/>
          <w:szCs w:val="28"/>
        </w:rPr>
        <w:t>durante</w:t>
      </w:r>
      <w:proofErr w:type="spellEnd"/>
      <w:r w:rsidRPr="0066597B">
        <w:rPr>
          <w:sz w:val="28"/>
          <w:szCs w:val="28"/>
        </w:rPr>
        <w:t xml:space="preserve"> </w:t>
      </w:r>
      <w:proofErr w:type="spellStart"/>
      <w:r w:rsidR="00596DEC" w:rsidRPr="0066597B">
        <w:rPr>
          <w:sz w:val="28"/>
          <w:szCs w:val="28"/>
        </w:rPr>
        <w:t>noventa</w:t>
      </w:r>
      <w:proofErr w:type="spellEnd"/>
      <w:r w:rsidR="00596DEC" w:rsidRPr="0066597B">
        <w:rPr>
          <w:sz w:val="28"/>
          <w:szCs w:val="28"/>
        </w:rPr>
        <w:t xml:space="preserve"> (</w:t>
      </w:r>
      <w:r w:rsidRPr="0066597B">
        <w:rPr>
          <w:sz w:val="28"/>
          <w:szCs w:val="28"/>
        </w:rPr>
        <w:t>90</w:t>
      </w:r>
      <w:r w:rsidR="00596DEC" w:rsidRPr="0066597B">
        <w:rPr>
          <w:sz w:val="28"/>
          <w:szCs w:val="28"/>
        </w:rPr>
        <w:t>)</w:t>
      </w:r>
      <w:r w:rsidRPr="0066597B">
        <w:rPr>
          <w:sz w:val="28"/>
          <w:szCs w:val="28"/>
        </w:rPr>
        <w:t xml:space="preserve"> días. </w:t>
      </w:r>
    </w:p>
    <w:p w14:paraId="7C0C7F9F" w14:textId="7C6CA31F" w:rsidR="009478FA" w:rsidRPr="0066597B" w:rsidRDefault="00B46CC5" w:rsidP="00D44E05">
      <w:pPr>
        <w:pStyle w:val="BodyTextIndent3"/>
        <w:numPr>
          <w:ilvl w:val="0"/>
          <w:numId w:val="1"/>
        </w:numPr>
        <w:spacing w:after="120"/>
        <w:rPr>
          <w:sz w:val="28"/>
          <w:szCs w:val="28"/>
        </w:rPr>
      </w:pPr>
      <w:r w:rsidRPr="0066597B">
        <w:rPr>
          <w:sz w:val="28"/>
          <w:szCs w:val="28"/>
        </w:rPr>
        <w:t>En respuesta a las solicitudes para confirmar si una persona recibe o no servicios de CODI, el personal responderá: "</w:t>
      </w:r>
      <w:r w:rsidR="002471F2" w:rsidRPr="0066597B">
        <w:rPr>
          <w:iCs/>
          <w:sz w:val="28"/>
          <w:szCs w:val="28"/>
        </w:rPr>
        <w:t xml:space="preserve">No puedo confirmar ni negar que la persona en cuestión está recibiendo servicios o alguna vez ha recibido servicios sin autorización por escrito de dicha persona". </w:t>
      </w:r>
    </w:p>
    <w:p w14:paraId="0688FBFD" w14:textId="16027AAA" w:rsidR="000B593C" w:rsidRPr="0066597B" w:rsidRDefault="004929B0" w:rsidP="00D44E05">
      <w:pPr>
        <w:pStyle w:val="BodyTextIndent3"/>
        <w:numPr>
          <w:ilvl w:val="0"/>
          <w:numId w:val="1"/>
        </w:numPr>
        <w:spacing w:after="120"/>
        <w:rPr>
          <w:sz w:val="28"/>
          <w:szCs w:val="28"/>
        </w:rPr>
      </w:pPr>
      <w:r w:rsidRPr="0066597B">
        <w:rPr>
          <w:sz w:val="28"/>
          <w:szCs w:val="28"/>
        </w:rPr>
        <w:t>El personal de CODI que a sabiendas o intencionalmente viole las disposiciones de esta política estará sujeto a medidas disciplinarias, que pueden resultar en la terminación del empleo.</w:t>
      </w:r>
      <w:r w:rsidR="00C66EA2" w:rsidRPr="0066597B">
        <w:rPr>
          <w:sz w:val="28"/>
          <w:szCs w:val="28"/>
        </w:rPr>
        <w:tab/>
      </w:r>
    </w:p>
    <w:sectPr w:rsidR="000B593C" w:rsidRPr="0066597B" w:rsidSect="00AD7934">
      <w:footerReference w:type="even" r:id="rId8"/>
      <w:footerReference w:type="default" r:id="rId9"/>
      <w:pgSz w:w="12240" w:h="15840" w:code="1"/>
      <w:pgMar w:top="1440" w:right="1008"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2EBAD" w14:textId="77777777" w:rsidR="00EF4184" w:rsidRDefault="00EF4184">
      <w:r>
        <w:separator/>
      </w:r>
    </w:p>
  </w:endnote>
  <w:endnote w:type="continuationSeparator" w:id="0">
    <w:p w14:paraId="6425083A" w14:textId="77777777" w:rsidR="00EF4184" w:rsidRDefault="00EF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EEE32" w14:textId="77777777" w:rsidR="00DC23F3" w:rsidRDefault="00DC23F3" w:rsidP="008556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C4BBB8" w14:textId="77777777" w:rsidR="00DC23F3" w:rsidRDefault="00DC23F3" w:rsidP="002471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31B57" w14:textId="77777777" w:rsidR="00DC23F3" w:rsidRDefault="00DC23F3" w:rsidP="00855616">
    <w:pPr>
      <w:pStyle w:val="Footer"/>
      <w:ind w:right="360"/>
      <w:rPr>
        <w:noProof/>
        <w:sz w:val="20"/>
        <w:szCs w:val="20"/>
      </w:rPr>
    </w:pPr>
  </w:p>
  <w:p w14:paraId="490C9825" w14:textId="77777777" w:rsidR="00405125" w:rsidRDefault="00405125" w:rsidP="00405125">
    <w:pPr>
      <w:pStyle w:val="Footer"/>
      <w:pBdr>
        <w:bottom w:val="double" w:sz="6" w:space="1" w:color="auto"/>
      </w:pBdr>
    </w:pPr>
  </w:p>
  <w:p w14:paraId="03359E7C" w14:textId="77777777" w:rsidR="00B97FE3" w:rsidRPr="00855616" w:rsidRDefault="00D2234F" w:rsidP="00405125">
    <w:pPr>
      <w:pStyle w:val="Footer"/>
      <w:rPr>
        <w:sz w:val="20"/>
        <w:szCs w:val="20"/>
      </w:rPr>
    </w:pPr>
    <w:r w:rsidRPr="009258EB">
      <w:rPr>
        <w:sz w:val="20"/>
        <w:szCs w:val="20"/>
      </w:rPr>
      <w:t xml:space="preserve">Página </w:t>
    </w:r>
    <w:r w:rsidRPr="009258EB">
      <w:rPr>
        <w:sz w:val="20"/>
        <w:szCs w:val="20"/>
      </w:rPr>
      <w:fldChar w:fldCharType="begin"/>
    </w:r>
    <w:r w:rsidRPr="009258EB">
      <w:rPr>
        <w:sz w:val="20"/>
        <w:szCs w:val="20"/>
      </w:rPr>
      <w:instrText xml:space="preserve"> PAGE  \* Arabic  \* MERGEFORMAT </w:instrText>
    </w:r>
    <w:r w:rsidRPr="009258EB">
      <w:rPr>
        <w:sz w:val="20"/>
        <w:szCs w:val="20"/>
      </w:rPr>
      <w:fldChar w:fldCharType="separate"/>
    </w:r>
    <w:r w:rsidR="00A92350">
      <w:rPr>
        <w:noProof/>
        <w:sz w:val="20"/>
        <w:szCs w:val="20"/>
      </w:rPr>
      <w:t>3</w:t>
    </w:r>
    <w:r w:rsidRPr="009258EB">
      <w:rPr>
        <w:sz w:val="20"/>
        <w:szCs w:val="20"/>
      </w:rPr>
      <w:fldChar w:fldCharType="end"/>
    </w:r>
    <w:r w:rsidRPr="009258EB">
      <w:rPr>
        <w:sz w:val="20"/>
        <w:szCs w:val="20"/>
      </w:rPr>
      <w:t xml:space="preserve"> de </w:t>
    </w:r>
    <w:r w:rsidRPr="009258EB">
      <w:rPr>
        <w:sz w:val="20"/>
        <w:szCs w:val="20"/>
      </w:rPr>
      <w:fldChar w:fldCharType="begin"/>
    </w:r>
    <w:r w:rsidRPr="009258EB">
      <w:rPr>
        <w:sz w:val="20"/>
        <w:szCs w:val="20"/>
      </w:rPr>
      <w:instrText xml:space="preserve"> NUMPAGES  \* Arabic  \* MERGEFORMAT </w:instrText>
    </w:r>
    <w:r w:rsidRPr="009258EB">
      <w:rPr>
        <w:sz w:val="20"/>
        <w:szCs w:val="20"/>
      </w:rPr>
      <w:fldChar w:fldCharType="separate"/>
    </w:r>
    <w:r w:rsidR="00A92350">
      <w:rPr>
        <w:noProof/>
        <w:sz w:val="20"/>
        <w:szCs w:val="20"/>
      </w:rPr>
      <w:t>6</w:t>
    </w:r>
    <w:r w:rsidRPr="009258EB">
      <w:rPr>
        <w:sz w:val="20"/>
        <w:szCs w:val="20"/>
      </w:rPr>
      <w:fldChar w:fldCharType="end"/>
    </w:r>
    <w:r>
      <w:rPr>
        <w:sz w:val="20"/>
        <w:szCs w:val="20"/>
      </w:rPr>
      <w:t xml:space="preserve">: </w:t>
    </w:r>
    <w:r w:rsidR="00603E2D">
      <w:rPr>
        <w:b/>
        <w:bCs/>
        <w:sz w:val="18"/>
        <w:szCs w:val="18"/>
      </w:rPr>
      <w:t>Divulgación de información al consumidor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A2B0A" w14:textId="77777777" w:rsidR="00EF4184" w:rsidRDefault="00EF4184">
      <w:r>
        <w:separator/>
      </w:r>
    </w:p>
  </w:footnote>
  <w:footnote w:type="continuationSeparator" w:id="0">
    <w:p w14:paraId="3D2D2BB4" w14:textId="77777777" w:rsidR="00EF4184" w:rsidRDefault="00EF4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C6A57"/>
    <w:multiLevelType w:val="hybridMultilevel"/>
    <w:tmpl w:val="89B2DD6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D8B0380"/>
    <w:multiLevelType w:val="hybridMultilevel"/>
    <w:tmpl w:val="D1E867FC"/>
    <w:lvl w:ilvl="0" w:tplc="0D363D4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3B76E4F"/>
    <w:multiLevelType w:val="hybridMultilevel"/>
    <w:tmpl w:val="6706DD2A"/>
    <w:lvl w:ilvl="0" w:tplc="8F485D0A">
      <w:start w:val="1"/>
      <w:numFmt w:val="upperLetter"/>
      <w:lvlText w:val="%1."/>
      <w:lvlJc w:val="left"/>
      <w:pPr>
        <w:tabs>
          <w:tab w:val="num" w:pos="720"/>
        </w:tabs>
        <w:ind w:left="720" w:hanging="360"/>
      </w:pPr>
      <w:rPr>
        <w:rFonts w:hint="default"/>
        <w:strike w:val="0"/>
      </w:rPr>
    </w:lvl>
    <w:lvl w:ilvl="1" w:tplc="35F2FA62">
      <w:start w:val="1"/>
      <w:numFmt w:val="decimal"/>
      <w:lvlText w:val="%2."/>
      <w:lvlJc w:val="left"/>
      <w:pPr>
        <w:tabs>
          <w:tab w:val="num" w:pos="1440"/>
        </w:tabs>
        <w:ind w:left="1440" w:hanging="360"/>
      </w:pPr>
      <w:rPr>
        <w:rFonts w:hint="default"/>
        <w:b w:val="0"/>
        <w:i w:val="0"/>
        <w:strike w:val="0"/>
      </w:rPr>
    </w:lvl>
    <w:lvl w:ilvl="2" w:tplc="946CA008">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36564446"/>
    <w:multiLevelType w:val="hybridMultilevel"/>
    <w:tmpl w:val="CD640B0A"/>
    <w:lvl w:ilvl="0" w:tplc="BDFE73B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D214EF"/>
    <w:multiLevelType w:val="hybridMultilevel"/>
    <w:tmpl w:val="6264EA1C"/>
    <w:lvl w:ilvl="0" w:tplc="D6C8321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532180762">
    <w:abstractNumId w:val="2"/>
  </w:num>
  <w:num w:numId="2" w16cid:durableId="28339819">
    <w:abstractNumId w:val="0"/>
  </w:num>
  <w:num w:numId="3" w16cid:durableId="1445688803">
    <w:abstractNumId w:val="4"/>
  </w:num>
  <w:num w:numId="4" w16cid:durableId="1735346937">
    <w:abstractNumId w:val="1"/>
  </w:num>
  <w:num w:numId="5" w16cid:durableId="624235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U0NDEwNTUxNzY0M7ZQ0lEKTi0uzszPAykwNK0FAK1prOYtAAAA"/>
  </w:docVars>
  <w:rsids>
    <w:rsidRoot w:val="002471F2"/>
    <w:rsid w:val="000000EA"/>
    <w:rsid w:val="00006038"/>
    <w:rsid w:val="0000710C"/>
    <w:rsid w:val="00011140"/>
    <w:rsid w:val="00015C5E"/>
    <w:rsid w:val="00065496"/>
    <w:rsid w:val="00066A30"/>
    <w:rsid w:val="000859A6"/>
    <w:rsid w:val="000A006B"/>
    <w:rsid w:val="000B593C"/>
    <w:rsid w:val="000B6F0C"/>
    <w:rsid w:val="000C0463"/>
    <w:rsid w:val="000C37B8"/>
    <w:rsid w:val="000C4E64"/>
    <w:rsid w:val="000D176B"/>
    <w:rsid w:val="00120C6F"/>
    <w:rsid w:val="00131FFB"/>
    <w:rsid w:val="001334E3"/>
    <w:rsid w:val="00134BBF"/>
    <w:rsid w:val="001354DD"/>
    <w:rsid w:val="0015466A"/>
    <w:rsid w:val="00164914"/>
    <w:rsid w:val="001725B2"/>
    <w:rsid w:val="00174E49"/>
    <w:rsid w:val="001A0BFD"/>
    <w:rsid w:val="001A1097"/>
    <w:rsid w:val="001B05E9"/>
    <w:rsid w:val="001B3EC6"/>
    <w:rsid w:val="001C361D"/>
    <w:rsid w:val="001C7BFA"/>
    <w:rsid w:val="001E50A1"/>
    <w:rsid w:val="00200876"/>
    <w:rsid w:val="00207C02"/>
    <w:rsid w:val="002471F2"/>
    <w:rsid w:val="00254E73"/>
    <w:rsid w:val="00256653"/>
    <w:rsid w:val="00260108"/>
    <w:rsid w:val="002635A7"/>
    <w:rsid w:val="00264889"/>
    <w:rsid w:val="0026624E"/>
    <w:rsid w:val="002861A3"/>
    <w:rsid w:val="002A7265"/>
    <w:rsid w:val="002B37C7"/>
    <w:rsid w:val="002B48D9"/>
    <w:rsid w:val="002B5631"/>
    <w:rsid w:val="002C2C42"/>
    <w:rsid w:val="002C34D8"/>
    <w:rsid w:val="002D15EF"/>
    <w:rsid w:val="002D179E"/>
    <w:rsid w:val="002D24A0"/>
    <w:rsid w:val="002E709E"/>
    <w:rsid w:val="002E7B1D"/>
    <w:rsid w:val="002F730C"/>
    <w:rsid w:val="00301764"/>
    <w:rsid w:val="00302726"/>
    <w:rsid w:val="00306275"/>
    <w:rsid w:val="00315001"/>
    <w:rsid w:val="00322D17"/>
    <w:rsid w:val="003318B9"/>
    <w:rsid w:val="0034172B"/>
    <w:rsid w:val="00355B4C"/>
    <w:rsid w:val="00366177"/>
    <w:rsid w:val="00397443"/>
    <w:rsid w:val="003A713E"/>
    <w:rsid w:val="003A7208"/>
    <w:rsid w:val="003B01F8"/>
    <w:rsid w:val="003D497B"/>
    <w:rsid w:val="003E5E8A"/>
    <w:rsid w:val="003E6BCE"/>
    <w:rsid w:val="003E74DF"/>
    <w:rsid w:val="003F42DE"/>
    <w:rsid w:val="003F5063"/>
    <w:rsid w:val="00403DDC"/>
    <w:rsid w:val="00405125"/>
    <w:rsid w:val="00412551"/>
    <w:rsid w:val="00450B16"/>
    <w:rsid w:val="00474637"/>
    <w:rsid w:val="00475C48"/>
    <w:rsid w:val="00477750"/>
    <w:rsid w:val="004832A5"/>
    <w:rsid w:val="00485C9D"/>
    <w:rsid w:val="00490CCD"/>
    <w:rsid w:val="004929B0"/>
    <w:rsid w:val="004B4C89"/>
    <w:rsid w:val="004D0E23"/>
    <w:rsid w:val="004D3D6D"/>
    <w:rsid w:val="0052461E"/>
    <w:rsid w:val="00525D67"/>
    <w:rsid w:val="00527AFE"/>
    <w:rsid w:val="00534DA5"/>
    <w:rsid w:val="005359AD"/>
    <w:rsid w:val="00546810"/>
    <w:rsid w:val="005520DD"/>
    <w:rsid w:val="00552574"/>
    <w:rsid w:val="00554241"/>
    <w:rsid w:val="00564D9F"/>
    <w:rsid w:val="00596DEC"/>
    <w:rsid w:val="005A46D5"/>
    <w:rsid w:val="005B0F0A"/>
    <w:rsid w:val="005E31A9"/>
    <w:rsid w:val="005E352C"/>
    <w:rsid w:val="005E60BF"/>
    <w:rsid w:val="005F2AFE"/>
    <w:rsid w:val="0060079E"/>
    <w:rsid w:val="006022AD"/>
    <w:rsid w:val="00603E2D"/>
    <w:rsid w:val="00604A17"/>
    <w:rsid w:val="006064DE"/>
    <w:rsid w:val="0060683C"/>
    <w:rsid w:val="00612DA4"/>
    <w:rsid w:val="00621FC5"/>
    <w:rsid w:val="006246CA"/>
    <w:rsid w:val="006254C2"/>
    <w:rsid w:val="006438E8"/>
    <w:rsid w:val="0064723F"/>
    <w:rsid w:val="00651CA2"/>
    <w:rsid w:val="006539D4"/>
    <w:rsid w:val="00654E98"/>
    <w:rsid w:val="00664D9C"/>
    <w:rsid w:val="0066597B"/>
    <w:rsid w:val="00665E4F"/>
    <w:rsid w:val="006748DE"/>
    <w:rsid w:val="0068704E"/>
    <w:rsid w:val="006951FA"/>
    <w:rsid w:val="006D4659"/>
    <w:rsid w:val="006E0692"/>
    <w:rsid w:val="006E6878"/>
    <w:rsid w:val="00700076"/>
    <w:rsid w:val="007003A8"/>
    <w:rsid w:val="00704F6D"/>
    <w:rsid w:val="007065DF"/>
    <w:rsid w:val="007203F9"/>
    <w:rsid w:val="00734A60"/>
    <w:rsid w:val="00742932"/>
    <w:rsid w:val="007436AD"/>
    <w:rsid w:val="00771323"/>
    <w:rsid w:val="00772C5D"/>
    <w:rsid w:val="00776300"/>
    <w:rsid w:val="00776F45"/>
    <w:rsid w:val="007906EA"/>
    <w:rsid w:val="007912D2"/>
    <w:rsid w:val="007B0572"/>
    <w:rsid w:val="007B1D08"/>
    <w:rsid w:val="007B2BA6"/>
    <w:rsid w:val="007B7348"/>
    <w:rsid w:val="007C0D05"/>
    <w:rsid w:val="007F28E8"/>
    <w:rsid w:val="007F2B4A"/>
    <w:rsid w:val="007F316F"/>
    <w:rsid w:val="00810069"/>
    <w:rsid w:val="00816A71"/>
    <w:rsid w:val="00817590"/>
    <w:rsid w:val="00823432"/>
    <w:rsid w:val="00834F7C"/>
    <w:rsid w:val="008507BC"/>
    <w:rsid w:val="00855616"/>
    <w:rsid w:val="00855640"/>
    <w:rsid w:val="00860492"/>
    <w:rsid w:val="0088768B"/>
    <w:rsid w:val="00891557"/>
    <w:rsid w:val="00892D2D"/>
    <w:rsid w:val="00895865"/>
    <w:rsid w:val="008C5671"/>
    <w:rsid w:val="008C7A6A"/>
    <w:rsid w:val="008D29DC"/>
    <w:rsid w:val="008D4E86"/>
    <w:rsid w:val="008E22E6"/>
    <w:rsid w:val="008E6ECE"/>
    <w:rsid w:val="008E76A3"/>
    <w:rsid w:val="00923D6E"/>
    <w:rsid w:val="009424AE"/>
    <w:rsid w:val="009478FA"/>
    <w:rsid w:val="00965751"/>
    <w:rsid w:val="00965A6F"/>
    <w:rsid w:val="00966461"/>
    <w:rsid w:val="00972963"/>
    <w:rsid w:val="009747F0"/>
    <w:rsid w:val="0099279D"/>
    <w:rsid w:val="009A0E99"/>
    <w:rsid w:val="009A2D6C"/>
    <w:rsid w:val="009A5A41"/>
    <w:rsid w:val="009C7F72"/>
    <w:rsid w:val="009E4AF9"/>
    <w:rsid w:val="009F30C8"/>
    <w:rsid w:val="009F4C74"/>
    <w:rsid w:val="00A07165"/>
    <w:rsid w:val="00A46B26"/>
    <w:rsid w:val="00A47BD5"/>
    <w:rsid w:val="00A764EF"/>
    <w:rsid w:val="00A8016B"/>
    <w:rsid w:val="00A91548"/>
    <w:rsid w:val="00A92350"/>
    <w:rsid w:val="00A968C6"/>
    <w:rsid w:val="00A96DB5"/>
    <w:rsid w:val="00AC6CDB"/>
    <w:rsid w:val="00AD114D"/>
    <w:rsid w:val="00AD1C21"/>
    <w:rsid w:val="00AD7934"/>
    <w:rsid w:val="00AE6F25"/>
    <w:rsid w:val="00AE7BDB"/>
    <w:rsid w:val="00AF0A9C"/>
    <w:rsid w:val="00AF361B"/>
    <w:rsid w:val="00AF7AB1"/>
    <w:rsid w:val="00B04A4F"/>
    <w:rsid w:val="00B05501"/>
    <w:rsid w:val="00B103A6"/>
    <w:rsid w:val="00B17D94"/>
    <w:rsid w:val="00B2409C"/>
    <w:rsid w:val="00B264BE"/>
    <w:rsid w:val="00B40D3D"/>
    <w:rsid w:val="00B41602"/>
    <w:rsid w:val="00B46CC5"/>
    <w:rsid w:val="00B54A8D"/>
    <w:rsid w:val="00B55DBE"/>
    <w:rsid w:val="00B60229"/>
    <w:rsid w:val="00B64EBB"/>
    <w:rsid w:val="00B66B3E"/>
    <w:rsid w:val="00B6725A"/>
    <w:rsid w:val="00B7740A"/>
    <w:rsid w:val="00B77C0D"/>
    <w:rsid w:val="00B87E9B"/>
    <w:rsid w:val="00B97FE3"/>
    <w:rsid w:val="00BA234A"/>
    <w:rsid w:val="00BB7980"/>
    <w:rsid w:val="00BD35FB"/>
    <w:rsid w:val="00BD3701"/>
    <w:rsid w:val="00BE1247"/>
    <w:rsid w:val="00BE611F"/>
    <w:rsid w:val="00C10362"/>
    <w:rsid w:val="00C11523"/>
    <w:rsid w:val="00C13E4B"/>
    <w:rsid w:val="00C15961"/>
    <w:rsid w:val="00C25303"/>
    <w:rsid w:val="00C262C4"/>
    <w:rsid w:val="00C300C1"/>
    <w:rsid w:val="00C319D5"/>
    <w:rsid w:val="00C40708"/>
    <w:rsid w:val="00C55F3F"/>
    <w:rsid w:val="00C6462A"/>
    <w:rsid w:val="00C66EA2"/>
    <w:rsid w:val="00C711E9"/>
    <w:rsid w:val="00C732A5"/>
    <w:rsid w:val="00C77F31"/>
    <w:rsid w:val="00C80A4E"/>
    <w:rsid w:val="00C83465"/>
    <w:rsid w:val="00C97855"/>
    <w:rsid w:val="00CA3C30"/>
    <w:rsid w:val="00CB0C12"/>
    <w:rsid w:val="00CB1299"/>
    <w:rsid w:val="00CB3BDB"/>
    <w:rsid w:val="00CC3BBD"/>
    <w:rsid w:val="00CD0E74"/>
    <w:rsid w:val="00CD6BAB"/>
    <w:rsid w:val="00CE45F0"/>
    <w:rsid w:val="00CE4792"/>
    <w:rsid w:val="00D149D6"/>
    <w:rsid w:val="00D2234F"/>
    <w:rsid w:val="00D44E05"/>
    <w:rsid w:val="00D46097"/>
    <w:rsid w:val="00D564D8"/>
    <w:rsid w:val="00D575E9"/>
    <w:rsid w:val="00D57A08"/>
    <w:rsid w:val="00D61C22"/>
    <w:rsid w:val="00D648FE"/>
    <w:rsid w:val="00DB14DE"/>
    <w:rsid w:val="00DB3563"/>
    <w:rsid w:val="00DB641B"/>
    <w:rsid w:val="00DC23F3"/>
    <w:rsid w:val="00DD0DA6"/>
    <w:rsid w:val="00DD0E41"/>
    <w:rsid w:val="00DD5E5F"/>
    <w:rsid w:val="00DE69E3"/>
    <w:rsid w:val="00E04379"/>
    <w:rsid w:val="00E16C05"/>
    <w:rsid w:val="00E171BB"/>
    <w:rsid w:val="00E21990"/>
    <w:rsid w:val="00E34E9A"/>
    <w:rsid w:val="00E63F41"/>
    <w:rsid w:val="00E817FE"/>
    <w:rsid w:val="00EA102E"/>
    <w:rsid w:val="00EB0C00"/>
    <w:rsid w:val="00EC4C9C"/>
    <w:rsid w:val="00EC6BF4"/>
    <w:rsid w:val="00EE0E6C"/>
    <w:rsid w:val="00EE4763"/>
    <w:rsid w:val="00EF4184"/>
    <w:rsid w:val="00F03A46"/>
    <w:rsid w:val="00F03BC3"/>
    <w:rsid w:val="00F06CA6"/>
    <w:rsid w:val="00F170CA"/>
    <w:rsid w:val="00F172B2"/>
    <w:rsid w:val="00F363E5"/>
    <w:rsid w:val="00F40A29"/>
    <w:rsid w:val="00F44106"/>
    <w:rsid w:val="00F5582A"/>
    <w:rsid w:val="00F63C16"/>
    <w:rsid w:val="00F6462F"/>
    <w:rsid w:val="00F74318"/>
    <w:rsid w:val="00F80168"/>
    <w:rsid w:val="00FA2BBD"/>
    <w:rsid w:val="00FB104F"/>
    <w:rsid w:val="00FB14E4"/>
    <w:rsid w:val="00FB5538"/>
    <w:rsid w:val="00FB7BA8"/>
    <w:rsid w:val="00FC54B4"/>
    <w:rsid w:val="00FC6677"/>
    <w:rsid w:val="00FD192B"/>
    <w:rsid w:val="00FF54D2"/>
    <w:rsid w:val="00FF5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E19CAE"/>
  <w15:docId w15:val="{6B4D78FD-81EF-43F2-9F23-B82E74AA0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71F2"/>
    <w:rPr>
      <w:sz w:val="24"/>
      <w:szCs w:val="24"/>
    </w:rPr>
  </w:style>
  <w:style w:type="paragraph" w:styleId="Heading1">
    <w:name w:val="heading 1"/>
    <w:basedOn w:val="Normal"/>
    <w:next w:val="Normal"/>
    <w:qFormat/>
    <w:rsid w:val="002471F2"/>
    <w:pPr>
      <w:keepNext/>
      <w:jc w:val="center"/>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71F2"/>
    <w:pPr>
      <w:tabs>
        <w:tab w:val="center" w:pos="4320"/>
        <w:tab w:val="right" w:pos="8640"/>
      </w:tabs>
    </w:pPr>
  </w:style>
  <w:style w:type="paragraph" w:styleId="Footer">
    <w:name w:val="footer"/>
    <w:basedOn w:val="Normal"/>
    <w:link w:val="FooterChar"/>
    <w:rsid w:val="002471F2"/>
    <w:pPr>
      <w:tabs>
        <w:tab w:val="center" w:pos="4320"/>
        <w:tab w:val="right" w:pos="8640"/>
      </w:tabs>
    </w:pPr>
  </w:style>
  <w:style w:type="character" w:styleId="PageNumber">
    <w:name w:val="page number"/>
    <w:basedOn w:val="DefaultParagraphFont"/>
    <w:rsid w:val="002471F2"/>
  </w:style>
  <w:style w:type="paragraph" w:styleId="BodyTextIndent3">
    <w:name w:val="Body Text Indent 3"/>
    <w:basedOn w:val="Normal"/>
    <w:rsid w:val="002471F2"/>
    <w:pPr>
      <w:ind w:left="360"/>
    </w:pPr>
  </w:style>
  <w:style w:type="paragraph" w:styleId="BodyText">
    <w:name w:val="Body Text"/>
    <w:basedOn w:val="Normal"/>
    <w:rsid w:val="002471F2"/>
    <w:pPr>
      <w:tabs>
        <w:tab w:val="left" w:pos="720"/>
        <w:tab w:val="left" w:pos="1800"/>
      </w:tabs>
      <w:jc w:val="both"/>
    </w:pPr>
  </w:style>
  <w:style w:type="paragraph" w:styleId="DocumentMap">
    <w:name w:val="Document Map"/>
    <w:basedOn w:val="Normal"/>
    <w:semiHidden/>
    <w:rsid w:val="00C77F31"/>
    <w:pPr>
      <w:shd w:val="clear" w:color="auto" w:fill="000080"/>
    </w:pPr>
    <w:rPr>
      <w:rFonts w:ascii="Tahoma" w:hAnsi="Tahoma" w:cs="Tahoma"/>
      <w:sz w:val="20"/>
      <w:szCs w:val="20"/>
    </w:rPr>
  </w:style>
  <w:style w:type="paragraph" w:styleId="BalloonText">
    <w:name w:val="Balloon Text"/>
    <w:basedOn w:val="Normal"/>
    <w:semiHidden/>
    <w:rsid w:val="00810069"/>
    <w:rPr>
      <w:rFonts w:ascii="Tahoma" w:hAnsi="Tahoma" w:cs="Tahoma"/>
      <w:sz w:val="16"/>
      <w:szCs w:val="16"/>
    </w:rPr>
  </w:style>
  <w:style w:type="character" w:customStyle="1" w:styleId="FooterChar">
    <w:name w:val="Footer Char"/>
    <w:link w:val="Footer"/>
    <w:uiPriority w:val="99"/>
    <w:rsid w:val="00405125"/>
    <w:rPr>
      <w:sz w:val="24"/>
      <w:szCs w:val="24"/>
    </w:rPr>
  </w:style>
  <w:style w:type="paragraph" w:styleId="ListParagraph">
    <w:name w:val="List Paragraph"/>
    <w:basedOn w:val="Normal"/>
    <w:uiPriority w:val="34"/>
    <w:qFormat/>
    <w:rsid w:val="00AC6CDB"/>
    <w:pPr>
      <w:ind w:left="720"/>
    </w:pPr>
  </w:style>
  <w:style w:type="character" w:styleId="CommentReference">
    <w:name w:val="annotation reference"/>
    <w:basedOn w:val="DefaultParagraphFont"/>
    <w:rsid w:val="004D3D6D"/>
    <w:rPr>
      <w:sz w:val="16"/>
      <w:szCs w:val="16"/>
    </w:rPr>
  </w:style>
  <w:style w:type="paragraph" w:styleId="CommentText">
    <w:name w:val="annotation text"/>
    <w:basedOn w:val="Normal"/>
    <w:link w:val="CommentTextChar"/>
    <w:rsid w:val="004D3D6D"/>
    <w:rPr>
      <w:sz w:val="20"/>
      <w:szCs w:val="20"/>
    </w:rPr>
  </w:style>
  <w:style w:type="character" w:customStyle="1" w:styleId="CommentTextChar">
    <w:name w:val="Comment Text Char"/>
    <w:basedOn w:val="DefaultParagraphFont"/>
    <w:link w:val="CommentText"/>
    <w:rsid w:val="004D3D6D"/>
  </w:style>
  <w:style w:type="paragraph" w:styleId="CommentSubject">
    <w:name w:val="annotation subject"/>
    <w:basedOn w:val="CommentText"/>
    <w:next w:val="CommentText"/>
    <w:link w:val="CommentSubjectChar"/>
    <w:rsid w:val="004D3D6D"/>
    <w:rPr>
      <w:b/>
      <w:bCs/>
    </w:rPr>
  </w:style>
  <w:style w:type="character" w:customStyle="1" w:styleId="CommentSubjectChar">
    <w:name w:val="Comment Subject Char"/>
    <w:basedOn w:val="CommentTextChar"/>
    <w:link w:val="CommentSubject"/>
    <w:rsid w:val="004D3D6D"/>
    <w:rPr>
      <w:b/>
      <w:bCs/>
    </w:rPr>
  </w:style>
  <w:style w:type="character" w:styleId="PlaceholderText">
    <w:name w:val="Placeholder Text"/>
    <w:basedOn w:val="DefaultParagraphFont"/>
    <w:uiPriority w:val="99"/>
    <w:semiHidden/>
    <w:rsid w:val="00B672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0608521">
      <w:bodyDiv w:val="1"/>
      <w:marLeft w:val="0"/>
      <w:marRight w:val="0"/>
      <w:marTop w:val="0"/>
      <w:marBottom w:val="0"/>
      <w:divBdr>
        <w:top w:val="none" w:sz="0" w:space="0" w:color="auto"/>
        <w:left w:val="none" w:sz="0" w:space="0" w:color="auto"/>
        <w:bottom w:val="none" w:sz="0" w:space="0" w:color="auto"/>
        <w:right w:val="none" w:sz="0" w:space="0" w:color="auto"/>
      </w:divBdr>
    </w:div>
    <w:div w:id="171596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EFF89-689D-4F2B-882C-D558D1AF6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1650</Words>
  <Characters>9099</Characters>
  <Application>Microsoft Office Word</Application>
  <DocSecurity>0</DocSecurity>
  <Lines>185</Lines>
  <Paragraphs>68</Paragraphs>
  <ScaleCrop>false</ScaleCrop>
  <HeadingPairs>
    <vt:vector size="2" baseType="variant">
      <vt:variant>
        <vt:lpstr>Title</vt:lpstr>
      </vt:variant>
      <vt:variant>
        <vt:i4>1</vt:i4>
      </vt:variant>
    </vt:vector>
  </HeadingPairs>
  <TitlesOfParts>
    <vt:vector size="1" baseType="lpstr">
      <vt:lpstr>Difusión de información confidencial</vt:lpstr>
    </vt:vector>
  </TitlesOfParts>
  <Company>CODI</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Difusión de información confidencial</dc:title>
  <dc:creator>Linda L. Carney</dc:creator>
  <cp:lastModifiedBy>Sarfert, Lori Jo</cp:lastModifiedBy>
  <cp:revision>5</cp:revision>
  <cp:lastPrinted>2018-08-14T15:17:00Z</cp:lastPrinted>
  <dcterms:created xsi:type="dcterms:W3CDTF">2024-06-18T17:47:00Z</dcterms:created>
  <dcterms:modified xsi:type="dcterms:W3CDTF">2024-06-18T17:48:00Z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71f15378bc8f5515f960bbd3496d7549c150b50299f668dd5b083ab0c00b6ee0</vt:lpwstr>
  </property>
</Properties>
</file>